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36C" w:rsidRPr="0012536C" w:rsidRDefault="007E4944" w:rsidP="0012536C">
      <w:pPr>
        <w:spacing w:after="120" w:line="240" w:lineRule="auto"/>
        <w:jc w:val="right"/>
        <w:rPr>
          <w:b/>
          <w:u w:val="single"/>
          <w:lang w:val="pl-PL"/>
        </w:rPr>
      </w:pPr>
      <w:r>
        <w:rPr>
          <w:b/>
          <w:u w:val="single"/>
          <w:lang w:val="pl-PL"/>
        </w:rPr>
        <w:t xml:space="preserve"> </w:t>
      </w:r>
    </w:p>
    <w:p w:rsidR="0012536C" w:rsidRDefault="0012536C" w:rsidP="0011458C">
      <w:pPr>
        <w:spacing w:after="120" w:line="240" w:lineRule="auto"/>
        <w:rPr>
          <w:b/>
          <w:lang w:val="pl-PL"/>
        </w:rPr>
      </w:pPr>
    </w:p>
    <w:p w:rsidR="00CB0F1D" w:rsidRDefault="00CB0F1D" w:rsidP="0012536C">
      <w:pPr>
        <w:spacing w:after="120" w:line="240" w:lineRule="auto"/>
        <w:jc w:val="center"/>
        <w:rPr>
          <w:b/>
          <w:lang w:val="pl-PL"/>
        </w:rPr>
      </w:pPr>
    </w:p>
    <w:p w:rsidR="00CB0F1D" w:rsidRDefault="00CB0F1D" w:rsidP="0012536C">
      <w:pPr>
        <w:spacing w:after="120" w:line="240" w:lineRule="auto"/>
        <w:jc w:val="center"/>
        <w:rPr>
          <w:b/>
          <w:lang w:val="pl-PL"/>
        </w:rPr>
      </w:pPr>
    </w:p>
    <w:p w:rsidR="00CB0F1D" w:rsidRDefault="00CB0F1D" w:rsidP="0012536C">
      <w:pPr>
        <w:spacing w:after="120" w:line="240" w:lineRule="auto"/>
        <w:jc w:val="center"/>
        <w:rPr>
          <w:b/>
          <w:lang w:val="pl-PL"/>
        </w:rPr>
      </w:pPr>
    </w:p>
    <w:p w:rsidR="00CB0F1D" w:rsidRPr="00CB0F1D" w:rsidRDefault="00CB0F1D" w:rsidP="00CB0F1D">
      <w:pPr>
        <w:spacing w:after="120" w:line="240" w:lineRule="auto"/>
        <w:jc w:val="right"/>
        <w:rPr>
          <w:lang w:val="pl-PL"/>
        </w:rPr>
      </w:pPr>
      <w:r w:rsidRPr="00CB0F1D">
        <w:rPr>
          <w:lang w:val="pl-PL"/>
        </w:rPr>
        <w:t xml:space="preserve">Warszawa, dnia </w:t>
      </w:r>
      <w:r w:rsidR="0036428B">
        <w:rPr>
          <w:lang w:val="pl-PL"/>
        </w:rPr>
        <w:t>17 kwietnia 2018</w:t>
      </w:r>
      <w:r w:rsidRPr="00CB0F1D">
        <w:rPr>
          <w:lang w:val="pl-PL"/>
        </w:rPr>
        <w:t xml:space="preserve"> r.</w:t>
      </w:r>
    </w:p>
    <w:p w:rsidR="00CB0F1D" w:rsidRDefault="00CB0F1D" w:rsidP="0012536C">
      <w:pPr>
        <w:spacing w:after="120" w:line="240" w:lineRule="auto"/>
        <w:jc w:val="center"/>
        <w:rPr>
          <w:b/>
          <w:lang w:val="pl-PL"/>
        </w:rPr>
      </w:pPr>
    </w:p>
    <w:p w:rsidR="0012536C" w:rsidRDefault="007E4944" w:rsidP="0012536C">
      <w:pPr>
        <w:spacing w:after="120" w:line="240" w:lineRule="auto"/>
        <w:jc w:val="center"/>
        <w:rPr>
          <w:b/>
          <w:lang w:val="pl-PL"/>
        </w:rPr>
      </w:pPr>
      <w:r>
        <w:rPr>
          <w:b/>
          <w:lang w:val="pl-PL"/>
        </w:rPr>
        <w:t xml:space="preserve">Uwagi do tłumaczeń i </w:t>
      </w:r>
      <w:r w:rsidR="0012536C">
        <w:rPr>
          <w:b/>
          <w:lang w:val="pl-PL"/>
        </w:rPr>
        <w:t>słownictwo związane z Konwencją o ochronie praw człowieka i podstawowych wolności oraz orzecznictwem Europejskiego Trybunału Praw Człowieka</w:t>
      </w:r>
    </w:p>
    <w:p w:rsidR="0012536C" w:rsidRDefault="0012536C" w:rsidP="0011458C">
      <w:pPr>
        <w:spacing w:after="120" w:line="240" w:lineRule="auto"/>
        <w:rPr>
          <w:b/>
          <w:lang w:val="pl-PL"/>
        </w:rPr>
      </w:pPr>
    </w:p>
    <w:p w:rsidR="00307DC7" w:rsidRPr="00C9206B" w:rsidRDefault="00307DC7" w:rsidP="0011458C">
      <w:pPr>
        <w:spacing w:after="120" w:line="240" w:lineRule="auto"/>
        <w:rPr>
          <w:b/>
          <w:lang w:val="pl-PL"/>
        </w:rPr>
      </w:pPr>
      <w:r w:rsidRPr="00C9206B">
        <w:rPr>
          <w:b/>
          <w:lang w:val="pl-PL"/>
        </w:rPr>
        <w:t xml:space="preserve">Uwagi </w:t>
      </w:r>
      <w:r w:rsidR="00EA6F1E" w:rsidRPr="00C9206B">
        <w:rPr>
          <w:b/>
          <w:lang w:val="pl-PL"/>
        </w:rPr>
        <w:t xml:space="preserve">ogólne </w:t>
      </w:r>
      <w:r w:rsidRPr="00C9206B">
        <w:rPr>
          <w:b/>
          <w:lang w:val="pl-PL"/>
        </w:rPr>
        <w:t>do tłumaczeń</w:t>
      </w:r>
      <w:r w:rsidR="00F9177B">
        <w:rPr>
          <w:b/>
          <w:lang w:val="pl-PL"/>
        </w:rPr>
        <w:t xml:space="preserve"> orzeczeń Europejskiego Trybunału Praw Człowieka</w:t>
      </w:r>
    </w:p>
    <w:p w:rsidR="00EA6F1E" w:rsidRDefault="00307DC7" w:rsidP="0011458C">
      <w:pPr>
        <w:pStyle w:val="Akapitzlist"/>
        <w:numPr>
          <w:ilvl w:val="0"/>
          <w:numId w:val="4"/>
        </w:numPr>
        <w:spacing w:after="120" w:line="240" w:lineRule="auto"/>
        <w:ind w:left="360"/>
        <w:contextualSpacing w:val="0"/>
      </w:pPr>
      <w:r w:rsidRPr="00EA6F1E">
        <w:t>Konwencję</w:t>
      </w:r>
      <w:r w:rsidR="00EA6F1E">
        <w:t xml:space="preserve"> o ochronie praw człowieka i podstawowych wolności</w:t>
      </w:r>
      <w:r w:rsidRPr="00EA6F1E">
        <w:t xml:space="preserve"> cytować z urzędowego tłumaczenia, nie należy dokonywać własnych tłumaczeń!</w:t>
      </w:r>
      <w:r w:rsidR="0002237B">
        <w:t xml:space="preserve"> </w:t>
      </w:r>
    </w:p>
    <w:p w:rsidR="00307DC7" w:rsidRPr="00EA6F1E" w:rsidRDefault="00307DC7" w:rsidP="0011458C">
      <w:pPr>
        <w:pStyle w:val="Akapitzlist"/>
        <w:numPr>
          <w:ilvl w:val="0"/>
          <w:numId w:val="4"/>
        </w:numPr>
        <w:spacing w:after="120" w:line="240" w:lineRule="auto"/>
        <w:ind w:left="360"/>
        <w:contextualSpacing w:val="0"/>
      </w:pPr>
      <w:r w:rsidRPr="00EA6F1E">
        <w:t xml:space="preserve">Stosować </w:t>
      </w:r>
      <w:r w:rsidR="00456F80" w:rsidRPr="00EA6F1E">
        <w:t xml:space="preserve">odpowiednio </w:t>
      </w:r>
      <w:r w:rsidRPr="00EA6F1E">
        <w:t xml:space="preserve">sformułowania z tłumaczenia Konwencji przy tłumaczeniu argumentacji prawnej zawartej w wyroku. </w:t>
      </w:r>
      <w:r w:rsidR="00BF2519">
        <w:t>Np. gdy mowa o „</w:t>
      </w:r>
      <w:r w:rsidR="00BF2519" w:rsidRPr="00177D15">
        <w:rPr>
          <w:i/>
        </w:rPr>
        <w:t>provided by the law</w:t>
      </w:r>
      <w:r w:rsidR="00BF2519">
        <w:t>” przy ocenie ingerencji</w:t>
      </w:r>
      <w:r w:rsidR="007E4944">
        <w:t>,</w:t>
      </w:r>
      <w:r w:rsidR="00BF2519">
        <w:t xml:space="preserve"> jest to odpowiednik zwrotu z Konwencji, który jest </w:t>
      </w:r>
      <w:r w:rsidR="006041DC">
        <w:t xml:space="preserve">w niej </w:t>
      </w:r>
      <w:r w:rsidR="00BF2519">
        <w:t>tłumaczony z reguły jako „przewidziana/y</w:t>
      </w:r>
      <w:r w:rsidR="00AD4548">
        <w:t xml:space="preserve"> / określona/y</w:t>
      </w:r>
      <w:r w:rsidR="00BF2519">
        <w:t xml:space="preserve"> przez ustawę”. </w:t>
      </w:r>
    </w:p>
    <w:p w:rsidR="00EA6F1E" w:rsidRPr="00EA6F1E" w:rsidRDefault="00EA6F1E" w:rsidP="0011458C">
      <w:pPr>
        <w:pStyle w:val="Akapitzlist"/>
        <w:numPr>
          <w:ilvl w:val="0"/>
          <w:numId w:val="4"/>
        </w:numPr>
        <w:spacing w:after="120" w:line="240" w:lineRule="auto"/>
        <w:ind w:left="360"/>
        <w:contextualSpacing w:val="0"/>
      </w:pPr>
      <w:r w:rsidRPr="00EA6F1E">
        <w:t>najlepiej nie zmieniać układu tekstu Trybunału, tj. nagłówków, czcionek, marginesów itp.</w:t>
      </w:r>
    </w:p>
    <w:p w:rsidR="00BF2519" w:rsidRDefault="00EA6F1E" w:rsidP="0011458C">
      <w:pPr>
        <w:pStyle w:val="Akapitzlist"/>
        <w:numPr>
          <w:ilvl w:val="0"/>
          <w:numId w:val="4"/>
        </w:numPr>
        <w:spacing w:after="120" w:line="240" w:lineRule="auto"/>
        <w:ind w:left="360"/>
        <w:contextualSpacing w:val="0"/>
      </w:pPr>
      <w:r w:rsidRPr="00EA6F1E">
        <w:t xml:space="preserve">najlepiej tłumaczyć w oparciu o szatę graficzną oryginału, stosować stronę tytułową jak w wyroku, </w:t>
      </w:r>
    </w:p>
    <w:p w:rsidR="00BF2519" w:rsidRPr="00EA6F1E" w:rsidRDefault="00BF2519" w:rsidP="0011458C">
      <w:pPr>
        <w:pStyle w:val="Akapitzlist"/>
        <w:numPr>
          <w:ilvl w:val="0"/>
          <w:numId w:val="4"/>
        </w:numPr>
        <w:spacing w:after="120" w:line="240" w:lineRule="auto"/>
        <w:ind w:left="360"/>
        <w:contextualSpacing w:val="0"/>
      </w:pPr>
      <w:r>
        <w:t>w</w:t>
      </w:r>
      <w:r w:rsidRPr="00EA6F1E">
        <w:t xml:space="preserve">arto utrzymywać formatowanie Trybunałowe, np. co do wielkości czcionki, sposobu cytowania przez Trybunał artykułów Konwencji czy też innych wyroków.  </w:t>
      </w:r>
    </w:p>
    <w:p w:rsidR="00EA6F1E" w:rsidRPr="00EA6F1E" w:rsidRDefault="00EA6F1E" w:rsidP="0011458C">
      <w:pPr>
        <w:pStyle w:val="Akapitzlist"/>
        <w:numPr>
          <w:ilvl w:val="0"/>
          <w:numId w:val="4"/>
        </w:numPr>
        <w:spacing w:after="120" w:line="240" w:lineRule="auto"/>
        <w:ind w:left="360"/>
        <w:contextualSpacing w:val="0"/>
      </w:pPr>
      <w:r w:rsidRPr="00EA6F1E">
        <w:t xml:space="preserve">miejsca opuszczone w tłumaczeniu </w:t>
      </w:r>
      <w:r w:rsidR="00BF2519">
        <w:t xml:space="preserve">wyraźnie </w:t>
      </w:r>
      <w:r w:rsidRPr="00EA6F1E">
        <w:t>sygnalizować (tak by było</w:t>
      </w:r>
      <w:r w:rsidR="00BF2519">
        <w:t xml:space="preserve"> jasne, co zostało opuszczone)</w:t>
      </w:r>
      <w:r w:rsidRPr="00EA6F1E">
        <w:t xml:space="preserve"> </w:t>
      </w:r>
    </w:p>
    <w:p w:rsidR="00307DC7" w:rsidRPr="00EA6F1E" w:rsidRDefault="00307DC7" w:rsidP="0011458C">
      <w:pPr>
        <w:pStyle w:val="Akapitzlist"/>
        <w:numPr>
          <w:ilvl w:val="0"/>
          <w:numId w:val="4"/>
        </w:numPr>
        <w:spacing w:after="120" w:line="240" w:lineRule="auto"/>
        <w:ind w:left="360"/>
        <w:contextualSpacing w:val="0"/>
      </w:pPr>
      <w:r w:rsidRPr="00EA6F1E">
        <w:t>nie stosować wyjustowania za pomocą SHIFT-ENTER, gdyż tekst będzie się rozjeżdżał w różnych przeglądarkach internetowych</w:t>
      </w:r>
      <w:r w:rsidR="006041DC">
        <w:t>, w razie potrzeby stosować CTRL+SHIFT+Spacja </w:t>
      </w:r>
    </w:p>
    <w:p w:rsidR="005A5A57" w:rsidRDefault="00BF2519" w:rsidP="0011458C">
      <w:pPr>
        <w:pStyle w:val="Akapitzlist"/>
        <w:numPr>
          <w:ilvl w:val="0"/>
          <w:numId w:val="4"/>
        </w:numPr>
        <w:spacing w:after="120" w:line="240" w:lineRule="auto"/>
        <w:ind w:left="360"/>
        <w:contextualSpacing w:val="0"/>
      </w:pPr>
      <w:r>
        <w:t>g</w:t>
      </w:r>
      <w:r w:rsidR="00906EA6" w:rsidRPr="00EA6F1E">
        <w:t xml:space="preserve">dy wprowadzamy fragmenty streszczeń Trybunału – należy zaznaczyć ten fakt oraz </w:t>
      </w:r>
      <w:r w:rsidR="006041DC">
        <w:t> </w:t>
      </w:r>
      <w:r w:rsidR="00906EA6" w:rsidRPr="00EA6F1E">
        <w:t>źródło</w:t>
      </w:r>
    </w:p>
    <w:p w:rsidR="00B108F7" w:rsidRPr="00B108F7" w:rsidRDefault="005A5A57" w:rsidP="0011458C">
      <w:pPr>
        <w:pStyle w:val="Akapitzlist"/>
        <w:numPr>
          <w:ilvl w:val="0"/>
          <w:numId w:val="4"/>
        </w:numPr>
        <w:spacing w:after="120" w:line="240" w:lineRule="auto"/>
        <w:ind w:left="360"/>
        <w:contextualSpacing w:val="0"/>
      </w:pPr>
      <w:r w:rsidRPr="005A5A57">
        <w:t xml:space="preserve">sugerujemy zachować sposób przywoływania przez Trybunał swych wcześniejszych orzeczeń, w tym umieszczania tych odwołań w nawiasach, a także </w:t>
      </w:r>
      <w:r w:rsidR="00B108F7" w:rsidRPr="00B108F7">
        <w:t>przy odesłaniach do innych fragmentów wyroku – zamiast słowa „ustęp”, proponujemy używać słowo „</w:t>
      </w:r>
      <w:r w:rsidR="00B108F7" w:rsidRPr="006041DC">
        <w:rPr>
          <w:b/>
        </w:rPr>
        <w:t>paragraf”</w:t>
      </w:r>
      <w:r w:rsidR="00B108F7" w:rsidRPr="00B108F7">
        <w:t xml:space="preserve"> (</w:t>
      </w:r>
      <w:r w:rsidR="004A58FA">
        <w:t xml:space="preserve">np. </w:t>
      </w:r>
      <w:r w:rsidR="00B108F7" w:rsidRPr="00B108F7">
        <w:t>zob. paragraf 5)</w:t>
      </w:r>
      <w:r w:rsidR="0002237B">
        <w:t>, gdy odesłanie jest w ramach danego wyroku,</w:t>
      </w:r>
      <w:r w:rsidR="004E3D15">
        <w:t xml:space="preserve"> i</w:t>
      </w:r>
      <w:r w:rsidR="00B108F7" w:rsidRPr="00B108F7">
        <w:t xml:space="preserve"> </w:t>
      </w:r>
      <w:r w:rsidR="004E3D15">
        <w:t>„</w:t>
      </w:r>
      <w:r w:rsidR="00B108F7" w:rsidRPr="00B108F7">
        <w:t>§</w:t>
      </w:r>
      <w:r w:rsidR="004E3D15">
        <w:t>”</w:t>
      </w:r>
      <w:r w:rsidR="0002237B">
        <w:t xml:space="preserve">, gdy </w:t>
      </w:r>
      <w:r w:rsidR="00B108F7" w:rsidRPr="00B108F7">
        <w:t>Trybunał</w:t>
      </w:r>
      <w:r w:rsidR="0002237B">
        <w:t xml:space="preserve"> cytuje</w:t>
      </w:r>
      <w:r w:rsidR="00B108F7" w:rsidRPr="00B108F7">
        <w:t xml:space="preserve"> swe </w:t>
      </w:r>
      <w:r w:rsidR="0002237B">
        <w:t>wcześniejsze wyroki</w:t>
      </w:r>
    </w:p>
    <w:p w:rsidR="00EA6F1E" w:rsidRPr="00EA6F1E" w:rsidRDefault="00EA6F1E" w:rsidP="0011458C">
      <w:pPr>
        <w:pStyle w:val="Akapitzlist"/>
        <w:numPr>
          <w:ilvl w:val="0"/>
          <w:numId w:val="4"/>
        </w:numPr>
        <w:spacing w:after="120" w:line="240" w:lineRule="auto"/>
        <w:ind w:left="360"/>
        <w:contextualSpacing w:val="0"/>
      </w:pPr>
      <w:r w:rsidRPr="00EA6F1E">
        <w:t>stosować tłumaczenie Regulaminu Trybunału w wersji u</w:t>
      </w:r>
      <w:r w:rsidR="0002237B">
        <w:t>dostępnionej ostatnio przez MSZ</w:t>
      </w:r>
      <w:r w:rsidR="0002237B">
        <w:rPr>
          <w:rStyle w:val="Odwoanieprzypisudolnego"/>
        </w:rPr>
        <w:footnoteReference w:id="1"/>
      </w:r>
    </w:p>
    <w:p w:rsidR="00307DC7" w:rsidRPr="00EA6F1E" w:rsidRDefault="00BF2519" w:rsidP="0011458C">
      <w:pPr>
        <w:pStyle w:val="Akapitzlist"/>
        <w:numPr>
          <w:ilvl w:val="0"/>
          <w:numId w:val="4"/>
        </w:numPr>
        <w:spacing w:after="120" w:line="240" w:lineRule="auto"/>
        <w:ind w:left="360"/>
        <w:contextualSpacing w:val="0"/>
      </w:pPr>
      <w:r>
        <w:t>n</w:t>
      </w:r>
      <w:r w:rsidR="00307DC7" w:rsidRPr="00EA6F1E">
        <w:t>ie dokonywać spolszczenia nazwisk i imion skarżących</w:t>
      </w:r>
      <w:r w:rsidR="006041DC">
        <w:t>, ewentualnie podać obie wersje</w:t>
      </w:r>
      <w:r w:rsidR="00456F80" w:rsidRPr="00EA6F1E">
        <w:t>. W miarę możliwości należy odmieniać przez przypadki obce imiona i nazwiska</w:t>
      </w:r>
      <w:r w:rsidR="007A1D91">
        <w:t xml:space="preserve"> </w:t>
      </w:r>
      <w:r w:rsidR="0002237B">
        <w:t>(</w:t>
      </w:r>
      <w:r w:rsidR="00456F80" w:rsidRPr="00EA6F1E">
        <w:t>zgodnie z zasadami polskiej gramatyki</w:t>
      </w:r>
      <w:r w:rsidR="0002237B">
        <w:t>)</w:t>
      </w:r>
      <w:r w:rsidR="00456F80" w:rsidRPr="00EA6F1E">
        <w:t>.</w:t>
      </w:r>
    </w:p>
    <w:p w:rsidR="006041DC" w:rsidRDefault="00BF2519" w:rsidP="006041DC">
      <w:pPr>
        <w:pStyle w:val="Akapitzlist"/>
        <w:numPr>
          <w:ilvl w:val="0"/>
          <w:numId w:val="4"/>
        </w:numPr>
        <w:spacing w:after="120" w:line="240" w:lineRule="auto"/>
        <w:ind w:left="360"/>
        <w:contextualSpacing w:val="0"/>
      </w:pPr>
      <w:r>
        <w:t>w</w:t>
      </w:r>
      <w:r w:rsidR="00906EA6" w:rsidRPr="00EA6F1E">
        <w:t>yrażenia w obcym języku, np. łacińskie – zapis kursywą</w:t>
      </w:r>
      <w:r w:rsidR="006041DC">
        <w:t xml:space="preserve">, </w:t>
      </w:r>
      <w:r w:rsidR="006041DC" w:rsidRPr="005A5A57">
        <w:t>stosowani</w:t>
      </w:r>
      <w:r w:rsidR="006041DC">
        <w:t>e</w:t>
      </w:r>
      <w:r w:rsidR="006041DC" w:rsidRPr="005A5A57">
        <w:t xml:space="preserve"> kursy</w:t>
      </w:r>
      <w:r w:rsidR="006041DC">
        <w:t>wy także w odniesieniu do nazw skarg do ETPCz</w:t>
      </w:r>
    </w:p>
    <w:p w:rsidR="006041DC" w:rsidRDefault="006041DC" w:rsidP="006041DC">
      <w:pPr>
        <w:pStyle w:val="Akapitzlist"/>
        <w:numPr>
          <w:ilvl w:val="0"/>
          <w:numId w:val="4"/>
        </w:numPr>
        <w:spacing w:after="120" w:line="240" w:lineRule="auto"/>
        <w:ind w:left="360"/>
        <w:contextualSpacing w:val="0"/>
        <w:rPr>
          <w:b/>
        </w:rPr>
      </w:pPr>
      <w:r w:rsidRPr="00D641F3">
        <w:t xml:space="preserve">w nazwie skargi „Inni” </w:t>
      </w:r>
      <w:r>
        <w:t xml:space="preserve">(Others) </w:t>
      </w:r>
      <w:r w:rsidRPr="00D641F3">
        <w:t xml:space="preserve">pisać wielką literą: np. </w:t>
      </w:r>
      <w:r w:rsidRPr="006041DC">
        <w:rPr>
          <w:i/>
        </w:rPr>
        <w:t xml:space="preserve">X i </w:t>
      </w:r>
      <w:r w:rsidRPr="006041DC">
        <w:rPr>
          <w:b/>
          <w:i/>
        </w:rPr>
        <w:t>I</w:t>
      </w:r>
      <w:r w:rsidRPr="006041DC">
        <w:rPr>
          <w:i/>
        </w:rPr>
        <w:t>nni</w:t>
      </w:r>
      <w:r>
        <w:rPr>
          <w:b/>
        </w:rPr>
        <w:t xml:space="preserve">  </w:t>
      </w:r>
      <w:r w:rsidRPr="006041DC">
        <w:rPr>
          <w:i/>
        </w:rPr>
        <w:t>p. Polsce</w:t>
      </w:r>
    </w:p>
    <w:p w:rsidR="00906EA6" w:rsidRPr="00EA6F1E" w:rsidRDefault="00BF2519" w:rsidP="0011458C">
      <w:pPr>
        <w:pStyle w:val="Akapitzlist"/>
        <w:numPr>
          <w:ilvl w:val="0"/>
          <w:numId w:val="4"/>
        </w:numPr>
        <w:spacing w:after="120" w:line="240" w:lineRule="auto"/>
        <w:ind w:left="360"/>
        <w:contextualSpacing w:val="0"/>
      </w:pPr>
      <w:r>
        <w:t>p</w:t>
      </w:r>
      <w:r w:rsidR="00906EA6" w:rsidRPr="00EA6F1E">
        <w:t>oprawiać zapis znaków cudzysłowu na format polski</w:t>
      </w:r>
      <w:r>
        <w:t>:</w:t>
      </w:r>
      <w:r w:rsidR="00906EA6" w:rsidRPr="00EA6F1E">
        <w:t xml:space="preserve">  „”.</w:t>
      </w:r>
    </w:p>
    <w:p w:rsidR="00EA6F1E" w:rsidRPr="00EA6F1E" w:rsidRDefault="00BF2519" w:rsidP="0011458C">
      <w:pPr>
        <w:pStyle w:val="Akapitzlist"/>
        <w:numPr>
          <w:ilvl w:val="0"/>
          <w:numId w:val="4"/>
        </w:numPr>
        <w:spacing w:after="120" w:line="240" w:lineRule="auto"/>
        <w:ind w:left="360"/>
        <w:contextualSpacing w:val="0"/>
      </w:pPr>
      <w:r>
        <w:lastRenderedPageBreak/>
        <w:t>s</w:t>
      </w:r>
      <w:r w:rsidR="00EA6F1E" w:rsidRPr="00EA6F1E">
        <w:t xml:space="preserve">tosować oficjalne nazwy państw </w:t>
      </w:r>
    </w:p>
    <w:p w:rsidR="00BF2519" w:rsidRDefault="00BF2519" w:rsidP="0011458C">
      <w:pPr>
        <w:pStyle w:val="Akapitzlist"/>
        <w:numPr>
          <w:ilvl w:val="0"/>
          <w:numId w:val="4"/>
        </w:numPr>
        <w:spacing w:after="120" w:line="240" w:lineRule="auto"/>
        <w:ind w:left="360"/>
        <w:contextualSpacing w:val="0"/>
      </w:pPr>
      <w:r>
        <w:t>sprawdzić w internecie, czy są dostępne tłumaczenia różnych powoływanych w tekście konwencji, zaleceń,</w:t>
      </w:r>
      <w:r w:rsidR="0002237B">
        <w:t xml:space="preserve"> nazw</w:t>
      </w:r>
      <w:r>
        <w:t xml:space="preserve"> komitetów itp. i stosować nazewnictwo zgodne z tymi tłumaczeniami</w:t>
      </w:r>
    </w:p>
    <w:p w:rsidR="00BF2519" w:rsidRPr="00223D9E" w:rsidRDefault="00EA6F1E" w:rsidP="0011458C">
      <w:pPr>
        <w:pStyle w:val="Akapitzlist"/>
        <w:numPr>
          <w:ilvl w:val="0"/>
          <w:numId w:val="4"/>
        </w:numPr>
        <w:spacing w:after="120" w:line="240" w:lineRule="auto"/>
        <w:ind w:left="360"/>
        <w:contextualSpacing w:val="0"/>
      </w:pPr>
      <w:r w:rsidRPr="00223D9E">
        <w:t>w całym tekście stosować jednolity zapis zwrotów: r.; art., ust</w:t>
      </w:r>
      <w:r w:rsidR="004A58FA" w:rsidRPr="00223D9E">
        <w:t xml:space="preserve">., lit. a, </w:t>
      </w:r>
      <w:r w:rsidR="00532644" w:rsidRPr="00223D9E">
        <w:t xml:space="preserve">(np. art. 35 ust. 1 lit. a Konwencji), Reguła </w:t>
      </w:r>
      <w:r w:rsidR="004A58FA" w:rsidRPr="00223D9E">
        <w:t>i</w:t>
      </w:r>
      <w:r w:rsidR="0002237B" w:rsidRPr="00223D9E">
        <w:t xml:space="preserve"> §</w:t>
      </w:r>
      <w:r w:rsidR="00532644" w:rsidRPr="00223D9E">
        <w:t xml:space="preserve"> (np. Reguła 59 § 1 Regulaminu Trybunału), opinia odrębna /nie stosować: roku, artykuł, ustęp, lit. a), zdanie odrębne/</w:t>
      </w:r>
      <w:r w:rsidRPr="00223D9E">
        <w:t xml:space="preserve"> </w:t>
      </w:r>
    </w:p>
    <w:p w:rsidR="00D23580" w:rsidRDefault="00D23580" w:rsidP="0011458C">
      <w:pPr>
        <w:pStyle w:val="Akapitzlist"/>
        <w:numPr>
          <w:ilvl w:val="0"/>
          <w:numId w:val="4"/>
        </w:numPr>
        <w:spacing w:after="120" w:line="240" w:lineRule="auto"/>
        <w:ind w:left="360"/>
        <w:contextualSpacing w:val="0"/>
      </w:pPr>
      <w:r>
        <w:t xml:space="preserve">zapisy tytułów aktów prawnych zgodnie z Zasadami Techniki Prawodawczej, np. ustawa i rozporządzenie z małej litery, Konwencja o ochronie praw człowieka i podstawowych wolności (z dużej litery tylko „Konwencja”), Kodeks cywilny, itp. </w:t>
      </w:r>
    </w:p>
    <w:p w:rsidR="00975E1B" w:rsidRDefault="00975E1B" w:rsidP="00975E1B">
      <w:pPr>
        <w:pStyle w:val="Akapitzlist"/>
        <w:numPr>
          <w:ilvl w:val="0"/>
          <w:numId w:val="4"/>
        </w:numPr>
        <w:spacing w:after="120" w:line="240" w:lineRule="auto"/>
        <w:ind w:left="360"/>
        <w:contextualSpacing w:val="0"/>
      </w:pPr>
      <w:r w:rsidRPr="00975E1B">
        <w:t>uwaga – teksty Trybunału zawierają automatycznie aktualizowaną numerację. W przypadku, gdy niektóre paragrafy są pomijane lub niektóre numery paragrafów wstawiane są ręcznie, może to powodować „posypanie się numeracji”. Nie należy też poprawiać numerów na tekście zawierającym pola aktywne, pole należy wykasować i całość wpisać ręcznie (aby zobaczyć pola aktywne – nacisnąć Alt + F9). Zalecamy wpisywać wszystkie numery ręcznie.</w:t>
      </w:r>
    </w:p>
    <w:p w:rsidR="005A5A57" w:rsidRDefault="00BF2519" w:rsidP="0011458C">
      <w:pPr>
        <w:pStyle w:val="Akapitzlist"/>
        <w:numPr>
          <w:ilvl w:val="0"/>
          <w:numId w:val="4"/>
        </w:numPr>
        <w:spacing w:after="120" w:line="240" w:lineRule="auto"/>
        <w:ind w:left="360"/>
        <w:contextualSpacing w:val="0"/>
      </w:pPr>
      <w:r>
        <w:t>w</w:t>
      </w:r>
      <w:r w:rsidR="00EA6F1E" w:rsidRPr="005A5A57">
        <w:t>arto na koniec przejrzeć całe tłumaczenie pod kątem je</w:t>
      </w:r>
      <w:r>
        <w:t>dnolitości stosowanych zapisów</w:t>
      </w:r>
    </w:p>
    <w:p w:rsidR="00C9206B" w:rsidRPr="008A3867" w:rsidRDefault="00C9206B" w:rsidP="00C9206B">
      <w:pPr>
        <w:spacing w:after="120" w:line="240" w:lineRule="auto"/>
        <w:rPr>
          <w:b/>
          <w:u w:val="single"/>
          <w:lang w:val="pl-PL"/>
        </w:rPr>
      </w:pPr>
    </w:p>
    <w:p w:rsidR="005A5A57" w:rsidRPr="00900877" w:rsidRDefault="00C9206B" w:rsidP="00C9206B">
      <w:pPr>
        <w:spacing w:after="120" w:line="240" w:lineRule="auto"/>
        <w:rPr>
          <w:b/>
          <w:u w:val="single"/>
          <w:lang w:val="pl-PL"/>
        </w:rPr>
      </w:pPr>
      <w:r w:rsidRPr="00900877">
        <w:rPr>
          <w:b/>
          <w:u w:val="single"/>
          <w:lang w:val="pl-PL"/>
        </w:rPr>
        <w:t>Najczęstsze terminy i zwroty</w:t>
      </w:r>
      <w:r w:rsidR="00E3206D">
        <w:rPr>
          <w:b/>
          <w:u w:val="single"/>
          <w:lang w:val="pl-PL"/>
        </w:rPr>
        <w:t>:</w:t>
      </w:r>
    </w:p>
    <w:p w:rsidR="001F43A0" w:rsidRPr="00722784" w:rsidRDefault="001F43A0" w:rsidP="0011458C">
      <w:pPr>
        <w:spacing w:after="120" w:line="240" w:lineRule="auto"/>
        <w:rPr>
          <w:lang w:val="pl-PL"/>
        </w:rPr>
      </w:pPr>
      <w:r w:rsidRPr="00722784">
        <w:rPr>
          <w:b/>
          <w:lang w:val="pl-PL"/>
        </w:rPr>
        <w:t>Agent</w:t>
      </w:r>
      <w:r w:rsidRPr="00722784">
        <w:rPr>
          <w:lang w:val="pl-PL"/>
        </w:rPr>
        <w:t xml:space="preserve"> – Pełnomocnik</w:t>
      </w:r>
      <w:r w:rsidR="00900877">
        <w:rPr>
          <w:lang w:val="pl-PL"/>
        </w:rPr>
        <w:t xml:space="preserve"> Rządu</w:t>
      </w:r>
      <w:r w:rsidRPr="00722784">
        <w:rPr>
          <w:lang w:val="pl-PL"/>
        </w:rPr>
        <w:t xml:space="preserve"> (w kontekście </w:t>
      </w:r>
      <w:r>
        <w:rPr>
          <w:lang w:val="pl-PL"/>
        </w:rPr>
        <w:t>„</w:t>
      </w:r>
      <w:r w:rsidRPr="00722784">
        <w:rPr>
          <w:lang w:val="pl-PL"/>
        </w:rPr>
        <w:t>Government Agent</w:t>
      </w:r>
      <w:r>
        <w:rPr>
          <w:lang w:val="pl-PL"/>
        </w:rPr>
        <w:t>”</w:t>
      </w:r>
      <w:r w:rsidRPr="00722784">
        <w:rPr>
          <w:lang w:val="pl-PL"/>
        </w:rPr>
        <w:t>)</w:t>
      </w:r>
      <w:r w:rsidR="00E3206D">
        <w:rPr>
          <w:lang w:val="pl-PL"/>
        </w:rPr>
        <w:t xml:space="preserve">  </w:t>
      </w:r>
      <w:r w:rsidR="001041E2">
        <w:rPr>
          <w:lang w:val="pl-PL"/>
        </w:rPr>
        <w:t>[przed Europejskim Trybunałem Praw Człowieka]</w:t>
      </w:r>
    </w:p>
    <w:p w:rsidR="002F30E8" w:rsidRDefault="002F30E8" w:rsidP="0011458C">
      <w:pPr>
        <w:spacing w:after="120" w:line="240" w:lineRule="auto"/>
        <w:rPr>
          <w:b/>
          <w:lang w:val="pl-PL"/>
        </w:rPr>
      </w:pPr>
      <w:r>
        <w:rPr>
          <w:b/>
          <w:lang w:val="pl-PL"/>
        </w:rPr>
        <w:t xml:space="preserve">alleged violation </w:t>
      </w:r>
      <w:r w:rsidRPr="002F30E8">
        <w:rPr>
          <w:lang w:val="pl-PL"/>
        </w:rPr>
        <w:t>– zarzucane naruszenie/ zarzut naruszenia</w:t>
      </w:r>
      <w:r w:rsidR="00780A99">
        <w:rPr>
          <w:lang w:val="pl-PL"/>
        </w:rPr>
        <w:t xml:space="preserve"> (art. n Konwencji)</w:t>
      </w:r>
    </w:p>
    <w:p w:rsidR="001F43A0" w:rsidRPr="00722784" w:rsidRDefault="001F43A0" w:rsidP="0011458C">
      <w:pPr>
        <w:spacing w:after="120" w:line="240" w:lineRule="auto"/>
        <w:rPr>
          <w:lang w:val="pl-PL"/>
        </w:rPr>
      </w:pPr>
      <w:r w:rsidRPr="00722784">
        <w:rPr>
          <w:b/>
          <w:lang w:val="pl-PL"/>
        </w:rPr>
        <w:t>applicant</w:t>
      </w:r>
      <w:r w:rsidRPr="00722784">
        <w:rPr>
          <w:lang w:val="pl-PL"/>
        </w:rPr>
        <w:t xml:space="preserve"> – skarżący/ skarżąca</w:t>
      </w:r>
    </w:p>
    <w:p w:rsidR="001F43A0" w:rsidRDefault="001F43A0" w:rsidP="0011458C">
      <w:pPr>
        <w:spacing w:after="120" w:line="240" w:lineRule="auto"/>
        <w:rPr>
          <w:lang w:val="pl-PL"/>
        </w:rPr>
      </w:pPr>
      <w:r w:rsidRPr="00722784">
        <w:rPr>
          <w:b/>
          <w:lang w:val="pl-PL"/>
        </w:rPr>
        <w:t>applicants</w:t>
      </w:r>
      <w:r w:rsidRPr="00722784">
        <w:rPr>
          <w:lang w:val="pl-PL"/>
        </w:rPr>
        <w:t xml:space="preserve"> – skarżący/skarżące (raczej unikać określeń typu „osoby skarżące”)</w:t>
      </w:r>
    </w:p>
    <w:p w:rsidR="001041E2" w:rsidRDefault="001041E2" w:rsidP="0011458C">
      <w:pPr>
        <w:spacing w:after="120" w:line="240" w:lineRule="auto"/>
        <w:rPr>
          <w:lang w:val="pl-PL"/>
        </w:rPr>
      </w:pPr>
      <w:r w:rsidRPr="001041E2">
        <w:rPr>
          <w:b/>
          <w:lang w:val="pl-PL"/>
        </w:rPr>
        <w:t>applicant company</w:t>
      </w:r>
      <w:r w:rsidR="0036428B">
        <w:rPr>
          <w:b/>
          <w:lang w:val="pl-PL"/>
        </w:rPr>
        <w:t>/association</w:t>
      </w:r>
      <w:r>
        <w:rPr>
          <w:lang w:val="pl-PL"/>
        </w:rPr>
        <w:t xml:space="preserve"> – skarżąca spółka</w:t>
      </w:r>
      <w:r w:rsidR="0036428B">
        <w:rPr>
          <w:lang w:val="pl-PL"/>
        </w:rPr>
        <w:t>/ skarżące stowarzyszenie</w:t>
      </w:r>
    </w:p>
    <w:p w:rsidR="001F43A0" w:rsidRPr="00456F80" w:rsidRDefault="001F43A0" w:rsidP="0011458C">
      <w:pPr>
        <w:spacing w:after="120" w:line="240" w:lineRule="auto"/>
        <w:rPr>
          <w:lang w:val="pl-PL"/>
        </w:rPr>
      </w:pPr>
      <w:r w:rsidRPr="00456F80">
        <w:rPr>
          <w:b/>
          <w:lang w:val="pl-PL"/>
        </w:rPr>
        <w:t>application</w:t>
      </w:r>
      <w:r w:rsidRPr="00456F80">
        <w:rPr>
          <w:lang w:val="pl-PL"/>
        </w:rPr>
        <w:t xml:space="preserve"> – skarga</w:t>
      </w:r>
      <w:r>
        <w:rPr>
          <w:lang w:val="pl-PL"/>
        </w:rPr>
        <w:t xml:space="preserve"> (gdy w kontekśc</w:t>
      </w:r>
      <w:r w:rsidR="001041E2">
        <w:rPr>
          <w:lang w:val="pl-PL"/>
        </w:rPr>
        <w:t xml:space="preserve">ie postępowań przed Trybunałem) [gdy </w:t>
      </w:r>
      <w:r>
        <w:rPr>
          <w:lang w:val="pl-PL"/>
        </w:rPr>
        <w:t>w kontekście postępowań krajowych może to być też odpowiednikiem np. wniosku</w:t>
      </w:r>
      <w:r w:rsidR="001041E2">
        <w:rPr>
          <w:lang w:val="pl-PL"/>
        </w:rPr>
        <w:t>]</w:t>
      </w:r>
    </w:p>
    <w:p w:rsidR="001F43A0" w:rsidRPr="00722784" w:rsidRDefault="001F43A0" w:rsidP="0011458C">
      <w:pPr>
        <w:spacing w:after="120" w:line="240" w:lineRule="auto"/>
      </w:pPr>
      <w:r w:rsidRPr="00BF2519">
        <w:rPr>
          <w:b/>
          <w:lang w:val="en-US"/>
        </w:rPr>
        <w:t>application was communicated</w:t>
      </w:r>
      <w:r w:rsidRPr="00BF2519">
        <w:rPr>
          <w:lang w:val="en-US"/>
        </w:rPr>
        <w:t xml:space="preserve"> </w:t>
      </w:r>
      <w:r w:rsidRPr="00BF2519">
        <w:rPr>
          <w:b/>
          <w:lang w:val="en-US"/>
        </w:rPr>
        <w:t>to the Government</w:t>
      </w:r>
      <w:r w:rsidRPr="00BF2519">
        <w:rPr>
          <w:lang w:val="en-US"/>
        </w:rPr>
        <w:t xml:space="preserve"> – spraw</w:t>
      </w:r>
      <w:r w:rsidRPr="00722784">
        <w:t xml:space="preserve">a została zakomunikowana </w:t>
      </w:r>
      <w:r w:rsidR="00803759" w:rsidRPr="00722784">
        <w:t>Rządowi</w:t>
      </w:r>
    </w:p>
    <w:p w:rsidR="001F43A0" w:rsidRDefault="001F43A0" w:rsidP="0011458C">
      <w:pPr>
        <w:spacing w:after="120" w:line="240" w:lineRule="auto"/>
        <w:rPr>
          <w:rStyle w:val="sdfc50a6a"/>
          <w:lang w:val="pl-PL"/>
        </w:rPr>
      </w:pPr>
      <w:r w:rsidRPr="00722784">
        <w:rPr>
          <w:rStyle w:val="sdfc50a6a"/>
          <w:b/>
          <w:lang w:val="pl-PL"/>
        </w:rPr>
        <w:t>conflicting obligations</w:t>
      </w:r>
      <w:r w:rsidR="001041E2">
        <w:rPr>
          <w:rStyle w:val="sdfc50a6a"/>
          <w:b/>
          <w:lang w:val="pl-PL"/>
        </w:rPr>
        <w:t>/interests</w:t>
      </w:r>
      <w:r w:rsidRPr="00722784">
        <w:rPr>
          <w:rStyle w:val="sdfc50a6a"/>
          <w:lang w:val="pl-PL"/>
        </w:rPr>
        <w:t xml:space="preserve"> – pozostające w sprzeczności zobowiązania</w:t>
      </w:r>
      <w:r w:rsidR="001041E2">
        <w:rPr>
          <w:rStyle w:val="sdfc50a6a"/>
          <w:lang w:val="pl-PL"/>
        </w:rPr>
        <w:t>/interesy</w:t>
      </w:r>
    </w:p>
    <w:p w:rsidR="00D641F3" w:rsidRPr="00722784" w:rsidRDefault="00D641F3" w:rsidP="0011458C">
      <w:pPr>
        <w:spacing w:after="120" w:line="240" w:lineRule="auto"/>
        <w:rPr>
          <w:rStyle w:val="sdfc50a6a"/>
          <w:lang w:val="pl-PL"/>
        </w:rPr>
      </w:pPr>
      <w:r w:rsidRPr="00D641F3">
        <w:rPr>
          <w:rStyle w:val="sdfc50a6a"/>
          <w:b/>
          <w:lang w:val="pl-PL"/>
        </w:rPr>
        <w:t>competing interests</w:t>
      </w:r>
      <w:r>
        <w:rPr>
          <w:rStyle w:val="sdfc50a6a"/>
          <w:lang w:val="pl-PL"/>
        </w:rPr>
        <w:t xml:space="preserve"> – konkurujące interesy</w:t>
      </w:r>
    </w:p>
    <w:p w:rsidR="001F43A0" w:rsidRPr="00722784" w:rsidRDefault="001F43A0" w:rsidP="0011458C">
      <w:pPr>
        <w:spacing w:after="120" w:line="240" w:lineRule="auto"/>
        <w:rPr>
          <w:lang w:val="pl-PL"/>
        </w:rPr>
      </w:pPr>
      <w:r w:rsidRPr="00722784">
        <w:rPr>
          <w:b/>
          <w:lang w:val="pl-PL"/>
        </w:rPr>
        <w:t>decide to rule on the admissibility and merits of the application at the same time</w:t>
      </w:r>
      <w:r w:rsidRPr="00722784">
        <w:rPr>
          <w:lang w:val="pl-PL"/>
        </w:rPr>
        <w:t xml:space="preserve"> – postanowić, że rozstrzygnięcie w sprawie dopuszczalności i przedmiotu skargi zostanie przyjęte jednocześnie</w:t>
      </w:r>
    </w:p>
    <w:p w:rsidR="001F43A0" w:rsidRDefault="001F43A0" w:rsidP="0011458C">
      <w:pPr>
        <w:spacing w:after="120" w:line="240" w:lineRule="auto"/>
        <w:rPr>
          <w:lang w:val="pl-PL"/>
        </w:rPr>
      </w:pPr>
      <w:r w:rsidRPr="00BF2519">
        <w:rPr>
          <w:b/>
          <w:lang w:val="pl-PL"/>
        </w:rPr>
        <w:t>detention</w:t>
      </w:r>
      <w:r>
        <w:rPr>
          <w:lang w:val="pl-PL"/>
        </w:rPr>
        <w:t xml:space="preserve"> – z reguły: pozbawienie wolności </w:t>
      </w:r>
    </w:p>
    <w:p w:rsidR="0011458C" w:rsidRPr="00402EBB" w:rsidRDefault="0011458C" w:rsidP="00AD4548">
      <w:pPr>
        <w:pStyle w:val="Akapitzlist"/>
        <w:numPr>
          <w:ilvl w:val="0"/>
          <w:numId w:val="9"/>
        </w:numPr>
        <w:spacing w:after="120" w:line="240" w:lineRule="auto"/>
        <w:rPr>
          <w:lang w:val="en-US"/>
        </w:rPr>
      </w:pPr>
      <w:r w:rsidRPr="00402EBB">
        <w:rPr>
          <w:b/>
          <w:lang w:val="en-US"/>
        </w:rPr>
        <w:t>pre-trial detention</w:t>
      </w:r>
      <w:r w:rsidRPr="00402EBB">
        <w:rPr>
          <w:lang w:val="en-US"/>
        </w:rPr>
        <w:t xml:space="preserve"> lub </w:t>
      </w:r>
      <w:r w:rsidRPr="00402EBB">
        <w:rPr>
          <w:b/>
          <w:lang w:val="en-US"/>
        </w:rPr>
        <w:t>detention on remand</w:t>
      </w:r>
      <w:r w:rsidRPr="00402EBB">
        <w:rPr>
          <w:lang w:val="en-US"/>
        </w:rPr>
        <w:t xml:space="preserve"> – tymczasowe aresztow</w:t>
      </w:r>
      <w:r w:rsidRPr="00803759">
        <w:rPr>
          <w:b/>
          <w:lang w:val="en-US"/>
        </w:rPr>
        <w:t>anie</w:t>
      </w:r>
    </w:p>
    <w:p w:rsidR="005032FD" w:rsidRPr="00AD4548" w:rsidRDefault="005032FD" w:rsidP="00AD4548">
      <w:pPr>
        <w:pStyle w:val="Akapitzlist"/>
        <w:numPr>
          <w:ilvl w:val="0"/>
          <w:numId w:val="9"/>
        </w:numPr>
        <w:spacing w:after="120" w:line="240" w:lineRule="auto"/>
      </w:pPr>
      <w:r w:rsidRPr="00AD4548">
        <w:rPr>
          <w:b/>
        </w:rPr>
        <w:t>arrest</w:t>
      </w:r>
      <w:r w:rsidRPr="00AD4548">
        <w:t xml:space="preserve"> – z reguły: zatrzymanie</w:t>
      </w:r>
    </w:p>
    <w:p w:rsidR="001F43A0" w:rsidRPr="00722784" w:rsidRDefault="00900877" w:rsidP="0011458C">
      <w:pPr>
        <w:spacing w:after="120" w:line="240" w:lineRule="auto"/>
        <w:rPr>
          <w:rFonts w:eastAsia="Times New Roman"/>
          <w:lang w:val="pl-PL" w:eastAsia="en-GB"/>
        </w:rPr>
      </w:pPr>
      <w:r>
        <w:rPr>
          <w:rFonts w:eastAsia="Times New Roman"/>
          <w:b/>
          <w:lang w:val="pl-PL" w:eastAsia="en-GB"/>
        </w:rPr>
        <w:t>d</w:t>
      </w:r>
      <w:r w:rsidR="001F43A0" w:rsidRPr="00722784">
        <w:rPr>
          <w:rFonts w:eastAsia="Times New Roman"/>
          <w:b/>
          <w:lang w:val="pl-PL" w:eastAsia="en-GB"/>
        </w:rPr>
        <w:t>omestic authorities</w:t>
      </w:r>
      <w:r w:rsidR="001F43A0" w:rsidRPr="00722784">
        <w:rPr>
          <w:rFonts w:eastAsia="Times New Roman"/>
          <w:lang w:val="pl-PL" w:eastAsia="en-GB"/>
        </w:rPr>
        <w:t xml:space="preserve"> – władze krajowe (nb. istnieje rozróżnienie między Rządem (the Government) jako stroną postępowania przed Trybunałem, a władzami krajowymi, czyli organami, których zaniechania lub działania są przedmiotem skargi)</w:t>
      </w:r>
    </w:p>
    <w:p w:rsidR="001F43A0" w:rsidRPr="00722784" w:rsidRDefault="001F43A0" w:rsidP="0011458C">
      <w:pPr>
        <w:spacing w:after="120" w:line="240" w:lineRule="auto"/>
        <w:rPr>
          <w:rFonts w:eastAsia="Times New Roman"/>
          <w:lang w:val="pl-PL" w:eastAsia="en-GB"/>
        </w:rPr>
      </w:pPr>
      <w:r w:rsidRPr="00722784">
        <w:rPr>
          <w:rFonts w:eastAsia="Times New Roman"/>
          <w:b/>
          <w:lang w:val="pl-PL" w:eastAsia="en-GB"/>
        </w:rPr>
        <w:t>domestic remedies</w:t>
      </w:r>
      <w:r w:rsidRPr="00722784">
        <w:rPr>
          <w:rFonts w:eastAsia="Times New Roman"/>
          <w:lang w:val="pl-PL" w:eastAsia="en-GB"/>
        </w:rPr>
        <w:t xml:space="preserve"> – (krajowe) środki odwoławcze (zgodnie z oficjalnym tłumaczeniem art. 13 i 35 Konwencji)</w:t>
      </w:r>
    </w:p>
    <w:p w:rsidR="00345F5C" w:rsidRDefault="00345F5C" w:rsidP="0011458C">
      <w:pPr>
        <w:spacing w:after="120" w:line="240" w:lineRule="auto"/>
        <w:rPr>
          <w:b/>
          <w:lang w:val="pl-PL"/>
        </w:rPr>
      </w:pPr>
      <w:r>
        <w:rPr>
          <w:b/>
          <w:lang w:val="pl-PL"/>
        </w:rPr>
        <w:t xml:space="preserve">effective </w:t>
      </w:r>
      <w:r w:rsidR="0059390B">
        <w:rPr>
          <w:lang w:val="pl-PL"/>
        </w:rPr>
        <w:t>–</w:t>
      </w:r>
      <w:r w:rsidRPr="006D3A6B">
        <w:rPr>
          <w:lang w:val="pl-PL"/>
        </w:rPr>
        <w:t xml:space="preserve"> skuteczny</w:t>
      </w:r>
      <w:r w:rsidR="0059390B">
        <w:rPr>
          <w:lang w:val="pl-PL"/>
        </w:rPr>
        <w:t xml:space="preserve"> (np. śledztwo – </w:t>
      </w:r>
      <w:r w:rsidR="0059390B" w:rsidRPr="0059390B">
        <w:rPr>
          <w:b/>
          <w:lang w:val="pl-PL"/>
        </w:rPr>
        <w:t>investigation</w:t>
      </w:r>
      <w:r w:rsidR="0059390B">
        <w:rPr>
          <w:lang w:val="pl-PL"/>
        </w:rPr>
        <w:t>)</w:t>
      </w:r>
    </w:p>
    <w:p w:rsidR="001F43A0" w:rsidRPr="00722784" w:rsidRDefault="001F43A0" w:rsidP="0011458C">
      <w:pPr>
        <w:spacing w:after="120" w:line="240" w:lineRule="auto"/>
        <w:rPr>
          <w:lang w:val="pl-PL"/>
        </w:rPr>
      </w:pPr>
      <w:r w:rsidRPr="00722784">
        <w:rPr>
          <w:b/>
          <w:lang w:val="pl-PL"/>
        </w:rPr>
        <w:t>engaging responsibility of the State</w:t>
      </w:r>
      <w:r w:rsidRPr="00722784">
        <w:rPr>
          <w:lang w:val="pl-PL"/>
        </w:rPr>
        <w:t xml:space="preserve"> – pociągający odpowiedzialność państwa</w:t>
      </w:r>
    </w:p>
    <w:p w:rsidR="00936B84" w:rsidRPr="00936B84" w:rsidRDefault="00936B84" w:rsidP="007D6BD9">
      <w:pPr>
        <w:spacing w:after="120" w:line="240" w:lineRule="auto"/>
        <w:rPr>
          <w:lang w:val="pl-PL"/>
        </w:rPr>
      </w:pPr>
      <w:r>
        <w:rPr>
          <w:b/>
          <w:lang w:val="pl-PL"/>
        </w:rPr>
        <w:lastRenderedPageBreak/>
        <w:t xml:space="preserve">exhaustion of domestic remedies – </w:t>
      </w:r>
      <w:r>
        <w:rPr>
          <w:lang w:val="pl-PL"/>
        </w:rPr>
        <w:t xml:space="preserve">wyczerpanie </w:t>
      </w:r>
      <w:r w:rsidR="001041E2">
        <w:rPr>
          <w:lang w:val="pl-PL"/>
        </w:rPr>
        <w:t xml:space="preserve">[przez skarżącego] </w:t>
      </w:r>
      <w:r>
        <w:rPr>
          <w:lang w:val="pl-PL"/>
        </w:rPr>
        <w:t>krajowych środków odwoławczych</w:t>
      </w:r>
      <w:r w:rsidR="001041E2">
        <w:rPr>
          <w:lang w:val="pl-PL"/>
        </w:rPr>
        <w:t xml:space="preserve"> </w:t>
      </w:r>
    </w:p>
    <w:p w:rsidR="007D6BD9" w:rsidRPr="00722784" w:rsidRDefault="007D6BD9" w:rsidP="007D6BD9">
      <w:pPr>
        <w:spacing w:after="120" w:line="240" w:lineRule="auto"/>
        <w:rPr>
          <w:lang w:val="pl-PL"/>
        </w:rPr>
      </w:pPr>
      <w:r w:rsidRPr="00B8050E">
        <w:rPr>
          <w:b/>
          <w:lang w:val="pl-PL"/>
        </w:rPr>
        <w:t xml:space="preserve">on the basis of equity </w:t>
      </w:r>
      <w:r w:rsidRPr="00900877">
        <w:rPr>
          <w:b/>
          <w:lang w:val="pl-PL"/>
        </w:rPr>
        <w:t xml:space="preserve">/ </w:t>
      </w:r>
      <w:r w:rsidRPr="00900877">
        <w:rPr>
          <w:rStyle w:val="sb8d990e2"/>
          <w:b/>
          <w:lang w:val="pl-PL"/>
        </w:rPr>
        <w:t>on an equitable basis</w:t>
      </w:r>
      <w:r w:rsidRPr="001F43A0">
        <w:rPr>
          <w:b/>
          <w:lang w:val="pl-PL"/>
        </w:rPr>
        <w:t xml:space="preserve"> </w:t>
      </w:r>
      <w:r>
        <w:rPr>
          <w:lang w:val="pl-PL"/>
        </w:rPr>
        <w:t xml:space="preserve">–  </w:t>
      </w:r>
      <w:r w:rsidRPr="00722784">
        <w:rPr>
          <w:lang w:val="pl-PL"/>
        </w:rPr>
        <w:t>w oparciu o zasadę słuszności</w:t>
      </w:r>
      <w:r>
        <w:rPr>
          <w:lang w:val="pl-PL"/>
        </w:rPr>
        <w:t xml:space="preserve"> (we fragmentach wyroków, w których Trybunał zasądza słuszne zadośćuczynienie)</w:t>
      </w:r>
    </w:p>
    <w:p w:rsidR="001F43A0" w:rsidRDefault="001F43A0" w:rsidP="0011458C">
      <w:pPr>
        <w:spacing w:after="120" w:line="240" w:lineRule="auto"/>
        <w:rPr>
          <w:lang w:val="pl-PL"/>
        </w:rPr>
      </w:pPr>
      <w:r w:rsidRPr="00BF2519">
        <w:rPr>
          <w:b/>
          <w:lang w:val="pl-PL"/>
        </w:rPr>
        <w:t>fair trial</w:t>
      </w:r>
      <w:r>
        <w:rPr>
          <w:lang w:val="pl-PL"/>
        </w:rPr>
        <w:t xml:space="preserve"> – „rzetelny” proces</w:t>
      </w:r>
      <w:r w:rsidR="00936B84">
        <w:rPr>
          <w:lang w:val="pl-PL"/>
        </w:rPr>
        <w:t xml:space="preserve"> sądowy</w:t>
      </w:r>
      <w:r>
        <w:rPr>
          <w:lang w:val="pl-PL"/>
        </w:rPr>
        <w:t xml:space="preserve"> - </w:t>
      </w:r>
      <w:r w:rsidRPr="00307DC7">
        <w:rPr>
          <w:lang w:val="pl-PL"/>
        </w:rPr>
        <w:t>zamiast „sprawiedliwego” procesu</w:t>
      </w:r>
      <w:r>
        <w:rPr>
          <w:lang w:val="pl-PL"/>
        </w:rPr>
        <w:t xml:space="preserve"> </w:t>
      </w:r>
      <w:r w:rsidRPr="00307DC7">
        <w:rPr>
          <w:lang w:val="pl-PL"/>
        </w:rPr>
        <w:t>–</w:t>
      </w:r>
      <w:r>
        <w:rPr>
          <w:lang w:val="pl-PL"/>
        </w:rPr>
        <w:t xml:space="preserve">  </w:t>
      </w:r>
      <w:r w:rsidRPr="00307DC7">
        <w:rPr>
          <w:lang w:val="pl-PL"/>
        </w:rPr>
        <w:t>zgodnie z tłuma</w:t>
      </w:r>
      <w:r>
        <w:rPr>
          <w:lang w:val="pl-PL"/>
        </w:rPr>
        <w:t xml:space="preserve">czeniem tytułu art. 6 Konwencji. „Sprawiedliwe rozpatrzenie” stosować wówczas, jeśli jest to </w:t>
      </w:r>
      <w:r w:rsidR="00A85F08">
        <w:rPr>
          <w:lang w:val="pl-PL"/>
        </w:rPr>
        <w:t>w kontekście</w:t>
      </w:r>
      <w:r>
        <w:rPr>
          <w:lang w:val="pl-PL"/>
        </w:rPr>
        <w:t xml:space="preserve"> wyrażenia „fair hearing” z art. 6 ust. 1 Konwencji.</w:t>
      </w:r>
    </w:p>
    <w:p w:rsidR="001F43A0" w:rsidRPr="00722784" w:rsidRDefault="001F43A0" w:rsidP="0011458C">
      <w:pPr>
        <w:spacing w:after="120" w:line="240" w:lineRule="auto"/>
        <w:rPr>
          <w:lang w:val="pl-PL"/>
        </w:rPr>
      </w:pPr>
      <w:r w:rsidRPr="00722784">
        <w:rPr>
          <w:b/>
          <w:lang w:val="pl-PL"/>
        </w:rPr>
        <w:t>final judgment</w:t>
      </w:r>
      <w:r w:rsidRPr="00722784">
        <w:rPr>
          <w:lang w:val="pl-PL"/>
        </w:rPr>
        <w:t xml:space="preserve"> – </w:t>
      </w:r>
      <w:r w:rsidR="00B72CBD">
        <w:rPr>
          <w:lang w:val="pl-PL"/>
        </w:rPr>
        <w:t xml:space="preserve">w kontekście wyroków ETPCz: </w:t>
      </w:r>
      <w:r w:rsidR="006200C6">
        <w:rPr>
          <w:lang w:val="pl-PL"/>
        </w:rPr>
        <w:t>„</w:t>
      </w:r>
      <w:r w:rsidRPr="00722784">
        <w:rPr>
          <w:lang w:val="pl-PL"/>
        </w:rPr>
        <w:t>ostateczny wyrok</w:t>
      </w:r>
      <w:r w:rsidR="006200C6">
        <w:rPr>
          <w:lang w:val="pl-PL"/>
        </w:rPr>
        <w:t>”</w:t>
      </w:r>
      <w:r w:rsidRPr="00722784">
        <w:rPr>
          <w:lang w:val="pl-PL"/>
        </w:rPr>
        <w:t xml:space="preserve"> (</w:t>
      </w:r>
      <w:r w:rsidR="00B72CBD">
        <w:rPr>
          <w:lang w:val="pl-PL"/>
        </w:rPr>
        <w:t>jak w tłumaczeniu Konwencji), nie: „prawomocny”</w:t>
      </w:r>
    </w:p>
    <w:p w:rsidR="001F43A0" w:rsidRDefault="001F43A0" w:rsidP="0011458C">
      <w:pPr>
        <w:spacing w:after="120" w:line="240" w:lineRule="auto"/>
        <w:rPr>
          <w:lang w:val="pl-PL"/>
        </w:rPr>
      </w:pPr>
      <w:r w:rsidRPr="00722784">
        <w:rPr>
          <w:b/>
          <w:lang w:val="pl-PL"/>
        </w:rPr>
        <w:t>freedom of expression</w:t>
      </w:r>
      <w:r w:rsidRPr="00722784">
        <w:rPr>
          <w:lang w:val="pl-PL"/>
        </w:rPr>
        <w:t xml:space="preserve"> – </w:t>
      </w:r>
      <w:r>
        <w:rPr>
          <w:lang w:val="pl-PL"/>
        </w:rPr>
        <w:t>w</w:t>
      </w:r>
      <w:r w:rsidRPr="00722784">
        <w:rPr>
          <w:lang w:val="pl-PL"/>
        </w:rPr>
        <w:t>olność wyrażania opinii (zamiast wolność wypowiedzi</w:t>
      </w:r>
      <w:r>
        <w:rPr>
          <w:lang w:val="pl-PL"/>
        </w:rPr>
        <w:t xml:space="preserve"> lub wolność słowa, te wyrażenia stosować raczej dla odpowiedników</w:t>
      </w:r>
      <w:r w:rsidR="00803759">
        <w:rPr>
          <w:lang w:val="pl-PL"/>
        </w:rPr>
        <w:t xml:space="preserve"> typu</w:t>
      </w:r>
      <w:r>
        <w:rPr>
          <w:lang w:val="pl-PL"/>
        </w:rPr>
        <w:t xml:space="preserve"> „freedom of speech”</w:t>
      </w:r>
      <w:r w:rsidRPr="00722784">
        <w:rPr>
          <w:lang w:val="pl-PL"/>
        </w:rPr>
        <w:t>)</w:t>
      </w:r>
    </w:p>
    <w:p w:rsidR="001F43A0" w:rsidRPr="00AB49BB" w:rsidRDefault="001F43A0" w:rsidP="0011458C">
      <w:pPr>
        <w:spacing w:after="120" w:line="240" w:lineRule="auto"/>
        <w:rPr>
          <w:lang w:val="pl-PL"/>
        </w:rPr>
      </w:pPr>
      <w:r w:rsidRPr="00AB49BB">
        <w:rPr>
          <w:b/>
          <w:lang w:val="pl-PL"/>
        </w:rPr>
        <w:t>friendly settlement</w:t>
      </w:r>
      <w:r w:rsidRPr="00AB49BB">
        <w:rPr>
          <w:lang w:val="pl-PL"/>
        </w:rPr>
        <w:t xml:space="preserve"> – ugoda</w:t>
      </w:r>
      <w:r>
        <w:rPr>
          <w:lang w:val="pl-PL"/>
        </w:rPr>
        <w:t xml:space="preserve"> lub polubowne załatwienie sprawy</w:t>
      </w:r>
    </w:p>
    <w:p w:rsidR="001F43A0" w:rsidRPr="00722784" w:rsidRDefault="001F43A0" w:rsidP="0011458C">
      <w:pPr>
        <w:spacing w:after="120" w:line="240" w:lineRule="auto"/>
        <w:rPr>
          <w:rFonts w:eastAsia="Times New Roman"/>
          <w:lang w:val="pl-PL" w:eastAsia="en-GB"/>
        </w:rPr>
      </w:pPr>
      <w:r w:rsidRPr="00722784">
        <w:rPr>
          <w:rFonts w:eastAsia="Times New Roman"/>
          <w:b/>
          <w:lang w:val="pl-PL" w:eastAsia="en-GB"/>
        </w:rPr>
        <w:t xml:space="preserve">Government </w:t>
      </w:r>
      <w:r w:rsidRPr="00722784">
        <w:rPr>
          <w:rFonts w:eastAsia="Times New Roman"/>
          <w:lang w:val="pl-PL" w:eastAsia="en-GB"/>
        </w:rPr>
        <w:t>– Rząd (a nie Władze Państwowe) (nb. w praktyce Trybunału słowo „the Government” jest stosowane zwyczajowo jako liczba mnoga, po polsku – stosować liczbę pojedynczą)</w:t>
      </w:r>
    </w:p>
    <w:p w:rsidR="00D641F3" w:rsidRDefault="00D641F3" w:rsidP="0011458C">
      <w:pPr>
        <w:spacing w:after="120" w:line="240" w:lineRule="auto"/>
        <w:rPr>
          <w:lang w:val="pl-PL"/>
        </w:rPr>
      </w:pPr>
      <w:r w:rsidRPr="00EA6F1E">
        <w:rPr>
          <w:b/>
          <w:lang w:val="pl-PL"/>
        </w:rPr>
        <w:t>[GC]</w:t>
      </w:r>
      <w:r>
        <w:rPr>
          <w:lang w:val="pl-PL"/>
        </w:rPr>
        <w:t xml:space="preserve"> – [WI] lub [Wielka Izba]</w:t>
      </w:r>
      <w:r w:rsidR="001041E2">
        <w:rPr>
          <w:lang w:val="pl-PL"/>
        </w:rPr>
        <w:t xml:space="preserve"> /skrót od Grand Chamber/</w:t>
      </w:r>
    </w:p>
    <w:p w:rsidR="001F43A0" w:rsidRDefault="001F43A0" w:rsidP="0011458C">
      <w:pPr>
        <w:spacing w:after="120" w:line="240" w:lineRule="auto"/>
        <w:rPr>
          <w:lang w:val="pl-PL"/>
        </w:rPr>
      </w:pPr>
      <w:r w:rsidRPr="00EA6F1E">
        <w:rPr>
          <w:b/>
          <w:lang w:val="pl-PL"/>
        </w:rPr>
        <w:t>High Contracting Parties</w:t>
      </w:r>
      <w:r>
        <w:rPr>
          <w:lang w:val="pl-PL"/>
        </w:rPr>
        <w:t xml:space="preserve"> – Wysokie Układające się Strony (nie: Umawiające się)</w:t>
      </w:r>
    </w:p>
    <w:p w:rsidR="001F43A0" w:rsidRDefault="001F43A0" w:rsidP="0011458C">
      <w:pPr>
        <w:spacing w:after="120" w:line="240" w:lineRule="auto"/>
        <w:rPr>
          <w:lang w:val="pl-PL"/>
        </w:rPr>
      </w:pPr>
      <w:r>
        <w:rPr>
          <w:b/>
          <w:lang w:val="pl-PL"/>
        </w:rPr>
        <w:t>i</w:t>
      </w:r>
      <w:r w:rsidRPr="00722784">
        <w:rPr>
          <w:b/>
          <w:lang w:val="pl-PL"/>
        </w:rPr>
        <w:t>nadmissibility decision</w:t>
      </w:r>
      <w:r w:rsidRPr="00722784">
        <w:rPr>
          <w:lang w:val="pl-PL"/>
        </w:rPr>
        <w:t xml:space="preserve"> – decyzja o niedopuszczalności</w:t>
      </w:r>
    </w:p>
    <w:p w:rsidR="001F43A0" w:rsidRPr="00722784" w:rsidRDefault="001F43A0" w:rsidP="0011458C">
      <w:pPr>
        <w:spacing w:after="120" w:line="240" w:lineRule="auto"/>
        <w:rPr>
          <w:rStyle w:val="sdfc50a6a"/>
          <w:lang w:val="pl-PL"/>
        </w:rPr>
      </w:pPr>
      <w:r w:rsidRPr="00722784">
        <w:rPr>
          <w:rStyle w:val="sdfc50a6a"/>
          <w:b/>
          <w:lang w:val="pl-PL"/>
        </w:rPr>
        <w:t>individual or general measures</w:t>
      </w:r>
      <w:r w:rsidRPr="00722784">
        <w:rPr>
          <w:rStyle w:val="sdfc50a6a"/>
          <w:lang w:val="pl-PL"/>
        </w:rPr>
        <w:t xml:space="preserve"> – środki indywidualne lub generalne [</w:t>
      </w:r>
      <w:r>
        <w:rPr>
          <w:rStyle w:val="sdfc50a6a"/>
          <w:lang w:val="pl-PL"/>
        </w:rPr>
        <w:t xml:space="preserve">gdy </w:t>
      </w:r>
      <w:r w:rsidRPr="00722784">
        <w:rPr>
          <w:rStyle w:val="sdfc50a6a"/>
          <w:lang w:val="pl-PL"/>
        </w:rPr>
        <w:t>dotyczy kontekstu wykonywania wyroków Trybunału – art. 46 Konwencji]</w:t>
      </w:r>
    </w:p>
    <w:p w:rsidR="001F43A0" w:rsidRPr="00722784" w:rsidRDefault="001F43A0" w:rsidP="0011458C">
      <w:pPr>
        <w:spacing w:after="120" w:line="240" w:lineRule="auto"/>
        <w:rPr>
          <w:bCs/>
          <w:iCs/>
          <w:color w:val="000000"/>
          <w:lang w:val="pl-PL"/>
        </w:rPr>
      </w:pPr>
      <w:r w:rsidRPr="00722784">
        <w:rPr>
          <w:b/>
          <w:bCs/>
          <w:iCs/>
          <w:color w:val="000000"/>
          <w:lang w:val="pl-PL"/>
        </w:rPr>
        <w:t>interference</w:t>
      </w:r>
      <w:r w:rsidRPr="00722784">
        <w:rPr>
          <w:bCs/>
          <w:iCs/>
          <w:color w:val="000000"/>
          <w:lang w:val="pl-PL"/>
        </w:rPr>
        <w:t xml:space="preserve"> – ingerencja (nie</w:t>
      </w:r>
      <w:r w:rsidR="0002237B">
        <w:rPr>
          <w:bCs/>
          <w:iCs/>
          <w:color w:val="000000"/>
          <w:lang w:val="pl-PL"/>
        </w:rPr>
        <w:t>:</w:t>
      </w:r>
      <w:r w:rsidRPr="00722784">
        <w:rPr>
          <w:bCs/>
          <w:iCs/>
          <w:color w:val="000000"/>
          <w:lang w:val="pl-PL"/>
        </w:rPr>
        <w:t xml:space="preserve"> „naruszenie”, gdyż nie każda ingerencja jest</w:t>
      </w:r>
      <w:r>
        <w:rPr>
          <w:bCs/>
          <w:iCs/>
          <w:color w:val="000000"/>
          <w:lang w:val="pl-PL"/>
        </w:rPr>
        <w:t xml:space="preserve"> automatycznie</w:t>
      </w:r>
      <w:r w:rsidRPr="00722784">
        <w:rPr>
          <w:bCs/>
          <w:iCs/>
          <w:color w:val="000000"/>
          <w:lang w:val="pl-PL"/>
        </w:rPr>
        <w:t xml:space="preserve"> naruszeniem Konwencji</w:t>
      </w:r>
      <w:r w:rsidR="001041E2">
        <w:rPr>
          <w:bCs/>
          <w:iCs/>
          <w:color w:val="000000"/>
          <w:lang w:val="pl-PL"/>
        </w:rPr>
        <w:t>,</w:t>
      </w:r>
      <w:r>
        <w:rPr>
          <w:bCs/>
          <w:iCs/>
          <w:color w:val="000000"/>
          <w:lang w:val="pl-PL"/>
        </w:rPr>
        <w:t xml:space="preserve"> czyli „violation”</w:t>
      </w:r>
      <w:r w:rsidRPr="00722784">
        <w:rPr>
          <w:bCs/>
          <w:iCs/>
          <w:color w:val="000000"/>
          <w:lang w:val="pl-PL"/>
        </w:rPr>
        <w:t>)</w:t>
      </w:r>
    </w:p>
    <w:p w:rsidR="001F43A0" w:rsidRPr="00456F80" w:rsidRDefault="001F43A0" w:rsidP="0011458C">
      <w:pPr>
        <w:spacing w:after="120" w:line="240" w:lineRule="auto"/>
        <w:rPr>
          <w:lang w:val="pl-PL"/>
        </w:rPr>
      </w:pPr>
      <w:r w:rsidRPr="00456F80">
        <w:rPr>
          <w:b/>
          <w:lang w:val="pl-PL"/>
        </w:rPr>
        <w:t>interference with the peaceful enjoyment of possessions</w:t>
      </w:r>
      <w:r w:rsidRPr="00456F80">
        <w:rPr>
          <w:lang w:val="pl-PL"/>
        </w:rPr>
        <w:t xml:space="preserve"> - ingerencja w prawo do poszanowania mienia (jak </w:t>
      </w:r>
      <w:r>
        <w:rPr>
          <w:lang w:val="pl-PL"/>
        </w:rPr>
        <w:t xml:space="preserve">urzędowe </w:t>
      </w:r>
      <w:r w:rsidRPr="00456F80">
        <w:rPr>
          <w:lang w:val="pl-PL"/>
        </w:rPr>
        <w:t xml:space="preserve">tłumaczenie art. </w:t>
      </w:r>
      <w:r>
        <w:rPr>
          <w:lang w:val="pl-PL"/>
        </w:rPr>
        <w:t>1 Protokołu nr 1 do Konwencji)</w:t>
      </w:r>
    </w:p>
    <w:p w:rsidR="008A3867" w:rsidRDefault="008A3867" w:rsidP="0011458C">
      <w:pPr>
        <w:spacing w:after="120" w:line="240" w:lineRule="auto"/>
        <w:rPr>
          <w:lang w:val="pl-PL"/>
        </w:rPr>
      </w:pPr>
      <w:r>
        <w:rPr>
          <w:b/>
          <w:lang w:val="pl-PL"/>
        </w:rPr>
        <w:t xml:space="preserve">joinder of applications – </w:t>
      </w:r>
      <w:r>
        <w:rPr>
          <w:lang w:val="pl-PL"/>
        </w:rPr>
        <w:t xml:space="preserve">połączenie </w:t>
      </w:r>
      <w:r w:rsidR="001041E2">
        <w:rPr>
          <w:lang w:val="pl-PL"/>
        </w:rPr>
        <w:t>skarg</w:t>
      </w:r>
    </w:p>
    <w:p w:rsidR="005D0B6F" w:rsidRPr="008A3867" w:rsidRDefault="005D0B6F" w:rsidP="0011458C">
      <w:pPr>
        <w:spacing w:after="120" w:line="240" w:lineRule="auto"/>
        <w:rPr>
          <w:lang w:val="pl-PL"/>
        </w:rPr>
      </w:pPr>
      <w:r w:rsidRPr="005D0B6F">
        <w:rPr>
          <w:b/>
          <w:lang w:val="pl-PL"/>
        </w:rPr>
        <w:t>join to the merits</w:t>
      </w:r>
      <w:r>
        <w:rPr>
          <w:lang w:val="pl-PL"/>
        </w:rPr>
        <w:t xml:space="preserve"> – dołączyć do przedmiotu skargi (np. zastrzeżenie wstępne rządu ws. niedopuszczalności)</w:t>
      </w:r>
    </w:p>
    <w:p w:rsidR="001F43A0" w:rsidRDefault="00D641F3" w:rsidP="0011458C">
      <w:pPr>
        <w:spacing w:after="120" w:line="240" w:lineRule="auto"/>
        <w:rPr>
          <w:lang w:val="pl-PL"/>
        </w:rPr>
      </w:pPr>
      <w:r>
        <w:rPr>
          <w:b/>
          <w:lang w:val="pl-PL"/>
        </w:rPr>
        <w:t>j</w:t>
      </w:r>
      <w:r w:rsidR="001F43A0" w:rsidRPr="00722784">
        <w:rPr>
          <w:b/>
          <w:lang w:val="pl-PL"/>
        </w:rPr>
        <w:t>udgment</w:t>
      </w:r>
      <w:r w:rsidR="001F43A0" w:rsidRPr="00722784">
        <w:rPr>
          <w:lang w:val="pl-PL"/>
        </w:rPr>
        <w:t xml:space="preserve"> –</w:t>
      </w:r>
      <w:r w:rsidR="001041E2">
        <w:rPr>
          <w:lang w:val="pl-PL"/>
        </w:rPr>
        <w:t xml:space="preserve"> </w:t>
      </w:r>
      <w:r w:rsidR="001F43A0" w:rsidRPr="00722784">
        <w:rPr>
          <w:lang w:val="pl-PL"/>
        </w:rPr>
        <w:t xml:space="preserve">wyrok; </w:t>
      </w:r>
      <w:r w:rsidR="001F43A0" w:rsidRPr="00722784">
        <w:rPr>
          <w:b/>
          <w:lang w:val="pl-PL"/>
        </w:rPr>
        <w:t>decision</w:t>
      </w:r>
      <w:r w:rsidR="001F43A0" w:rsidRPr="00722784">
        <w:rPr>
          <w:lang w:val="pl-PL"/>
        </w:rPr>
        <w:t xml:space="preserve"> - decyzja (w kontekście ETPCz </w:t>
      </w:r>
      <w:r w:rsidR="00803759">
        <w:rPr>
          <w:lang w:val="pl-PL"/>
        </w:rPr>
        <w:t xml:space="preserve">w miarę możliwości </w:t>
      </w:r>
      <w:r w:rsidR="001F43A0" w:rsidRPr="00722784">
        <w:rPr>
          <w:lang w:val="pl-PL"/>
        </w:rPr>
        <w:t xml:space="preserve">unikać </w:t>
      </w:r>
      <w:r w:rsidR="00803759">
        <w:rPr>
          <w:lang w:val="pl-PL"/>
        </w:rPr>
        <w:t xml:space="preserve">ogólnego </w:t>
      </w:r>
      <w:r w:rsidR="001F43A0" w:rsidRPr="00722784">
        <w:rPr>
          <w:lang w:val="pl-PL"/>
        </w:rPr>
        <w:t>słowa „orzeczenie”, gdyż jest niejasne, czy chodzi o wyrok, czy o decyzję ETPCz)</w:t>
      </w:r>
    </w:p>
    <w:p w:rsidR="008A3867" w:rsidRPr="008A3867" w:rsidRDefault="005032FD" w:rsidP="008A3867">
      <w:pPr>
        <w:pStyle w:val="Akapitzlist"/>
        <w:numPr>
          <w:ilvl w:val="0"/>
          <w:numId w:val="4"/>
        </w:numPr>
        <w:spacing w:after="120" w:line="240" w:lineRule="auto"/>
        <w:ind w:left="360"/>
        <w:contextualSpacing w:val="0"/>
      </w:pPr>
      <w:r>
        <w:t xml:space="preserve"> „decision</w:t>
      </w:r>
      <w:r w:rsidR="00AD4548">
        <w:t>(s)</w:t>
      </w:r>
      <w:r>
        <w:t xml:space="preserve">” </w:t>
      </w:r>
      <w:r w:rsidR="008A3867" w:rsidRPr="008A3867">
        <w:t>w odniesieniu do sądów krajowych</w:t>
      </w:r>
      <w:r w:rsidR="001041E2">
        <w:t xml:space="preserve"> </w:t>
      </w:r>
      <w:r w:rsidR="008A3867" w:rsidRPr="008A3867">
        <w:t>–</w:t>
      </w:r>
      <w:r w:rsidR="00E3206D">
        <w:t xml:space="preserve"> naj</w:t>
      </w:r>
      <w:r w:rsidR="008A3867" w:rsidRPr="008A3867">
        <w:t xml:space="preserve">lepiej </w:t>
      </w:r>
      <w:r w:rsidR="0002237B">
        <w:t xml:space="preserve">tłumaczyć jako </w:t>
      </w:r>
      <w:r w:rsidR="001041E2">
        <w:t>„orzeczenie</w:t>
      </w:r>
      <w:r w:rsidR="00AD4548">
        <w:t>(a)</w:t>
      </w:r>
      <w:r w:rsidR="001041E2">
        <w:t>”, nie</w:t>
      </w:r>
      <w:r w:rsidR="008A3867" w:rsidRPr="008A3867">
        <w:t xml:space="preserve"> „decyzja</w:t>
      </w:r>
      <w:r w:rsidR="00AD4548">
        <w:t>(e)</w:t>
      </w:r>
      <w:r w:rsidR="008A3867" w:rsidRPr="008A3867">
        <w:t>”</w:t>
      </w:r>
      <w:r w:rsidR="00E3206D">
        <w:t xml:space="preserve">, natomiast </w:t>
      </w:r>
      <w:r w:rsidR="00AD4548">
        <w:t xml:space="preserve">termin </w:t>
      </w:r>
      <w:r w:rsidR="00E3206D">
        <w:t xml:space="preserve">„decyzja” </w:t>
      </w:r>
      <w:r w:rsidR="001041E2">
        <w:t xml:space="preserve">stosować </w:t>
      </w:r>
      <w:r w:rsidR="00E3206D">
        <w:t>w odniesieniu do organów administracji</w:t>
      </w:r>
    </w:p>
    <w:p w:rsidR="00936B84" w:rsidRPr="00936B84" w:rsidRDefault="00936B84" w:rsidP="0011458C">
      <w:pPr>
        <w:spacing w:after="120" w:line="240" w:lineRule="auto"/>
        <w:rPr>
          <w:lang w:val="pl-PL"/>
        </w:rPr>
      </w:pPr>
      <w:r>
        <w:rPr>
          <w:b/>
          <w:lang w:val="pl-PL"/>
        </w:rPr>
        <w:t xml:space="preserve">judicial remedy having a suspensive effect </w:t>
      </w:r>
      <w:r w:rsidRPr="00936B84">
        <w:rPr>
          <w:lang w:val="pl-PL"/>
        </w:rPr>
        <w:t>– środek o charakterze sądowym ze skutki</w:t>
      </w:r>
      <w:r w:rsidR="0002237B">
        <w:rPr>
          <w:lang w:val="pl-PL"/>
        </w:rPr>
        <w:t>e</w:t>
      </w:r>
      <w:r w:rsidRPr="00936B84">
        <w:rPr>
          <w:lang w:val="pl-PL"/>
        </w:rPr>
        <w:t>m zawieszającym</w:t>
      </w:r>
    </w:p>
    <w:p w:rsidR="00936B84" w:rsidRDefault="00936B84" w:rsidP="0011458C">
      <w:pPr>
        <w:spacing w:after="120" w:line="240" w:lineRule="auto"/>
        <w:rPr>
          <w:lang w:val="pl-PL"/>
        </w:rPr>
      </w:pPr>
      <w:r>
        <w:rPr>
          <w:b/>
          <w:lang w:val="pl-PL"/>
        </w:rPr>
        <w:t xml:space="preserve">judicial review </w:t>
      </w:r>
      <w:r w:rsidRPr="00936B84">
        <w:rPr>
          <w:lang w:val="pl-PL"/>
        </w:rPr>
        <w:t>– kontrola sądowa</w:t>
      </w:r>
    </w:p>
    <w:p w:rsidR="00936B84" w:rsidRDefault="00936B84" w:rsidP="0011458C">
      <w:pPr>
        <w:spacing w:after="120" w:line="240" w:lineRule="auto"/>
        <w:rPr>
          <w:b/>
          <w:lang w:val="pl-PL"/>
        </w:rPr>
      </w:pPr>
      <w:r w:rsidRPr="00936B84">
        <w:rPr>
          <w:b/>
          <w:lang w:val="pl-PL"/>
        </w:rPr>
        <w:t>juror</w:t>
      </w:r>
      <w:r>
        <w:rPr>
          <w:lang w:val="pl-PL"/>
        </w:rPr>
        <w:t xml:space="preserve"> – członek ławy przysięgłych</w:t>
      </w:r>
    </w:p>
    <w:p w:rsidR="00900877" w:rsidRDefault="00900877" w:rsidP="0011458C">
      <w:pPr>
        <w:spacing w:after="120" w:line="240" w:lineRule="auto"/>
        <w:rPr>
          <w:lang w:val="pl-PL"/>
        </w:rPr>
      </w:pPr>
      <w:r w:rsidRPr="00900877">
        <w:rPr>
          <w:b/>
          <w:lang w:val="pl-PL"/>
        </w:rPr>
        <w:t>just satisfaction</w:t>
      </w:r>
      <w:r>
        <w:rPr>
          <w:lang w:val="pl-PL"/>
        </w:rPr>
        <w:t xml:space="preserve"> – słuszne zadośćuczynienie</w:t>
      </w:r>
    </w:p>
    <w:p w:rsidR="00D641F3" w:rsidRDefault="00D641F3" w:rsidP="0011458C">
      <w:pPr>
        <w:spacing w:after="120" w:line="240" w:lineRule="auto"/>
        <w:rPr>
          <w:lang w:val="pl-PL"/>
        </w:rPr>
      </w:pPr>
      <w:r w:rsidRPr="00722784">
        <w:rPr>
          <w:lang w:val="pl-PL"/>
        </w:rPr>
        <w:t>„</w:t>
      </w:r>
      <w:r w:rsidRPr="00BF2519">
        <w:rPr>
          <w:b/>
          <w:lang w:val="pl-PL"/>
        </w:rPr>
        <w:t>The Law</w:t>
      </w:r>
      <w:r w:rsidRPr="00722784">
        <w:rPr>
          <w:lang w:val="pl-PL"/>
        </w:rPr>
        <w:t xml:space="preserve">” </w:t>
      </w:r>
      <w:r>
        <w:rPr>
          <w:lang w:val="pl-PL"/>
        </w:rPr>
        <w:t xml:space="preserve">(nagłówek) </w:t>
      </w:r>
      <w:r w:rsidRPr="00722784">
        <w:rPr>
          <w:lang w:val="pl-PL"/>
        </w:rPr>
        <w:t>– przyjęło się tłumaczyć jako „Prawo”, a nie podstawy prawne</w:t>
      </w:r>
    </w:p>
    <w:p w:rsidR="001041E2" w:rsidRPr="00722784" w:rsidRDefault="001041E2" w:rsidP="0011458C">
      <w:pPr>
        <w:spacing w:after="120" w:line="240" w:lineRule="auto"/>
        <w:rPr>
          <w:lang w:val="pl-PL"/>
        </w:rPr>
      </w:pPr>
      <w:r>
        <w:rPr>
          <w:lang w:val="pl-PL"/>
        </w:rPr>
        <w:t xml:space="preserve">law – w kontekście prawa krajowego </w:t>
      </w:r>
      <w:r w:rsidR="0002237B">
        <w:rPr>
          <w:lang w:val="pl-PL"/>
        </w:rPr>
        <w:t xml:space="preserve">- </w:t>
      </w:r>
      <w:r>
        <w:rPr>
          <w:lang w:val="pl-PL"/>
        </w:rPr>
        <w:t>„prawo”, ale też „ustawa” (zwłaszcza gdy jest związane z wyrażeniami typu „interference prescribed by law”, bowiem w tłumaczeniach Konwencji stosowane jest wyrażenie „przewidziane/określane ustawą”)</w:t>
      </w:r>
    </w:p>
    <w:p w:rsidR="001F43A0" w:rsidRPr="00722784" w:rsidRDefault="001F43A0" w:rsidP="0011458C">
      <w:pPr>
        <w:spacing w:after="120" w:line="240" w:lineRule="auto"/>
        <w:rPr>
          <w:lang w:val="pl-PL"/>
        </w:rPr>
      </w:pPr>
      <w:r>
        <w:rPr>
          <w:b/>
          <w:lang w:val="pl-PL"/>
        </w:rPr>
        <w:t>l</w:t>
      </w:r>
      <w:r w:rsidRPr="00722784">
        <w:rPr>
          <w:b/>
          <w:lang w:val="pl-PL"/>
        </w:rPr>
        <w:t>egitimate aim</w:t>
      </w:r>
      <w:r w:rsidRPr="00722784">
        <w:rPr>
          <w:lang w:val="pl-PL"/>
        </w:rPr>
        <w:t xml:space="preserve"> – uprawniony cel</w:t>
      </w:r>
      <w:r w:rsidR="00803759">
        <w:rPr>
          <w:lang w:val="pl-PL"/>
        </w:rPr>
        <w:t xml:space="preserve"> (tj. zgodny z przepisami Konwencji)</w:t>
      </w:r>
    </w:p>
    <w:p w:rsidR="001F43A0" w:rsidRPr="00722784" w:rsidRDefault="001F43A0" w:rsidP="0011458C">
      <w:pPr>
        <w:spacing w:after="120" w:line="240" w:lineRule="auto"/>
        <w:rPr>
          <w:lang w:val="pl-PL"/>
        </w:rPr>
      </w:pPr>
      <w:r w:rsidRPr="00722784">
        <w:rPr>
          <w:rStyle w:val="sb8d990e2"/>
          <w:b/>
          <w:lang w:val="pl-PL"/>
        </w:rPr>
        <w:t>legitimate expectation</w:t>
      </w:r>
      <w:r w:rsidRPr="00722784">
        <w:rPr>
          <w:rStyle w:val="sb8d990e2"/>
          <w:lang w:val="pl-PL"/>
        </w:rPr>
        <w:t xml:space="preserve"> – uprawnione oczekiwanie</w:t>
      </w:r>
      <w:r w:rsidR="001041E2">
        <w:rPr>
          <w:rStyle w:val="sb8d990e2"/>
          <w:lang w:val="pl-PL"/>
        </w:rPr>
        <w:t xml:space="preserve">  </w:t>
      </w:r>
    </w:p>
    <w:p w:rsidR="007D6BD9" w:rsidRPr="007D6BD9" w:rsidRDefault="0002237B" w:rsidP="0011458C">
      <w:pPr>
        <w:spacing w:after="120" w:line="240" w:lineRule="auto"/>
        <w:rPr>
          <w:lang w:val="pl-PL"/>
        </w:rPr>
      </w:pPr>
      <w:r>
        <w:rPr>
          <w:b/>
          <w:lang w:val="pl-PL"/>
        </w:rPr>
        <w:lastRenderedPageBreak/>
        <w:t xml:space="preserve">(minimum) level of severity – </w:t>
      </w:r>
      <w:r w:rsidRPr="0002237B">
        <w:rPr>
          <w:lang w:val="pl-PL"/>
        </w:rPr>
        <w:t>(</w:t>
      </w:r>
      <w:r w:rsidR="007D6BD9">
        <w:rPr>
          <w:lang w:val="pl-PL"/>
        </w:rPr>
        <w:t>minimalny</w:t>
      </w:r>
      <w:r>
        <w:rPr>
          <w:lang w:val="pl-PL"/>
        </w:rPr>
        <w:t>)</w:t>
      </w:r>
      <w:r w:rsidR="007D6BD9">
        <w:rPr>
          <w:lang w:val="pl-PL"/>
        </w:rPr>
        <w:t xml:space="preserve"> stopień dolegliwości/surowości (z reguły w kontekście art. 3 Konwencji</w:t>
      </w:r>
      <w:r w:rsidR="001041E2">
        <w:rPr>
          <w:lang w:val="pl-PL"/>
        </w:rPr>
        <w:t xml:space="preserve"> i traktowania osób</w:t>
      </w:r>
      <w:r w:rsidR="007D6BD9">
        <w:rPr>
          <w:lang w:val="pl-PL"/>
        </w:rPr>
        <w:t>)</w:t>
      </w:r>
    </w:p>
    <w:p w:rsidR="001F43A0" w:rsidRPr="00722784" w:rsidRDefault="001F43A0" w:rsidP="0011458C">
      <w:pPr>
        <w:spacing w:after="120" w:line="240" w:lineRule="auto"/>
        <w:rPr>
          <w:lang w:val="pl-PL"/>
        </w:rPr>
      </w:pPr>
      <w:r>
        <w:rPr>
          <w:b/>
          <w:lang w:val="pl-PL"/>
        </w:rPr>
        <w:t>m</w:t>
      </w:r>
      <w:r w:rsidRPr="00722784">
        <w:rPr>
          <w:b/>
          <w:lang w:val="pl-PL"/>
        </w:rPr>
        <w:t>anifestly ill-founded application</w:t>
      </w:r>
      <w:r w:rsidRPr="00722784">
        <w:rPr>
          <w:lang w:val="pl-PL"/>
        </w:rPr>
        <w:t xml:space="preserve"> = skarga w sposób oczywisty nieuzasadniona (zgodnie z oficjalnym tłumaczeniem art. 35 ust. 1 </w:t>
      </w:r>
      <w:r>
        <w:rPr>
          <w:lang w:val="pl-PL"/>
        </w:rPr>
        <w:t xml:space="preserve">lit. </w:t>
      </w:r>
      <w:r w:rsidRPr="00722784">
        <w:rPr>
          <w:lang w:val="pl-PL"/>
        </w:rPr>
        <w:t>a Konwencji</w:t>
      </w:r>
      <w:r>
        <w:rPr>
          <w:lang w:val="pl-PL"/>
        </w:rPr>
        <w:t>)</w:t>
      </w:r>
      <w:r w:rsidR="00900877">
        <w:rPr>
          <w:lang w:val="pl-PL"/>
        </w:rPr>
        <w:t xml:space="preserve">, </w:t>
      </w:r>
      <w:r w:rsidRPr="00722784">
        <w:rPr>
          <w:lang w:val="pl-PL"/>
        </w:rPr>
        <w:t xml:space="preserve">a nie „oczywiście bezzasadna”. </w:t>
      </w:r>
    </w:p>
    <w:p w:rsidR="001F43A0" w:rsidRDefault="001F43A0" w:rsidP="0011458C">
      <w:pPr>
        <w:spacing w:after="120" w:line="240" w:lineRule="auto"/>
        <w:rPr>
          <w:lang w:val="pl-PL"/>
        </w:rPr>
      </w:pPr>
      <w:r w:rsidRPr="00F679BD">
        <w:rPr>
          <w:b/>
          <w:lang w:val="pl-PL"/>
        </w:rPr>
        <w:t>margin of appreciation</w:t>
      </w:r>
      <w:r w:rsidRPr="00F679BD">
        <w:rPr>
          <w:lang w:val="pl-PL"/>
        </w:rPr>
        <w:t xml:space="preserve"> – margines oceny</w:t>
      </w:r>
      <w:r w:rsidR="0002237B">
        <w:rPr>
          <w:lang w:val="pl-PL"/>
        </w:rPr>
        <w:t>, nie: uznania</w:t>
      </w:r>
      <w:r w:rsidRPr="00F679BD">
        <w:rPr>
          <w:lang w:val="pl-PL"/>
        </w:rPr>
        <w:t xml:space="preserve"> (</w:t>
      </w:r>
      <w:r w:rsidRPr="00722784">
        <w:rPr>
          <w:lang w:val="pl-PL"/>
        </w:rPr>
        <w:t>zgodnie z oficjalnym tłumaczeniem</w:t>
      </w:r>
      <w:r w:rsidRPr="00F679BD">
        <w:rPr>
          <w:lang w:val="pl-PL"/>
        </w:rPr>
        <w:t xml:space="preserve"> Protokołu nr 15)</w:t>
      </w:r>
    </w:p>
    <w:p w:rsidR="001041E2" w:rsidRPr="001041E2" w:rsidRDefault="00B8050E" w:rsidP="001041E2">
      <w:pPr>
        <w:pStyle w:val="Akapitzlist"/>
        <w:numPr>
          <w:ilvl w:val="0"/>
          <w:numId w:val="7"/>
        </w:numPr>
        <w:spacing w:after="120" w:line="240" w:lineRule="auto"/>
      </w:pPr>
      <w:r w:rsidRPr="001041E2">
        <w:t xml:space="preserve">odpowiednio też: </w:t>
      </w:r>
      <w:r w:rsidR="00803759">
        <w:t xml:space="preserve">coś może </w:t>
      </w:r>
      <w:r w:rsidRPr="001041E2">
        <w:t xml:space="preserve">wchodzić w zakres szerokiego marginesu oceny, z którego korzysta państwo /być objęte szerokim marginesem oceny </w:t>
      </w:r>
      <w:r w:rsidR="00803759">
        <w:t xml:space="preserve">państwo </w:t>
      </w:r>
      <w:r w:rsidRPr="001041E2">
        <w:t xml:space="preserve">itp./. </w:t>
      </w:r>
    </w:p>
    <w:p w:rsidR="00B8050E" w:rsidRPr="001041E2" w:rsidRDefault="001041E2" w:rsidP="001041E2">
      <w:pPr>
        <w:pStyle w:val="Akapitzlist"/>
        <w:numPr>
          <w:ilvl w:val="0"/>
          <w:numId w:val="7"/>
        </w:numPr>
        <w:spacing w:after="120" w:line="240" w:lineRule="auto"/>
      </w:pPr>
      <w:r>
        <w:t>u</w:t>
      </w:r>
      <w:r w:rsidR="00B8050E" w:rsidRPr="001041E2">
        <w:t xml:space="preserve">znanie lub uznaniowość – stosować w </w:t>
      </w:r>
      <w:r w:rsidR="0002237B">
        <w:t xml:space="preserve">przypadku terminu </w:t>
      </w:r>
      <w:r w:rsidR="00B8050E" w:rsidRPr="001041E2">
        <w:t>„</w:t>
      </w:r>
      <w:r w:rsidR="00B8050E" w:rsidRPr="001041E2">
        <w:rPr>
          <w:b/>
        </w:rPr>
        <w:t>discretion</w:t>
      </w:r>
      <w:r w:rsidR="00B8050E" w:rsidRPr="001041E2">
        <w:t>”</w:t>
      </w:r>
    </w:p>
    <w:p w:rsidR="001F43A0" w:rsidRPr="00722784" w:rsidRDefault="001F43A0" w:rsidP="0011458C">
      <w:pPr>
        <w:spacing w:after="120" w:line="240" w:lineRule="auto"/>
        <w:rPr>
          <w:lang w:val="pl-PL"/>
        </w:rPr>
      </w:pPr>
      <w:r w:rsidRPr="00722784">
        <w:rPr>
          <w:rStyle w:val="sb8d990e2"/>
          <w:b/>
          <w:lang w:val="pl-PL"/>
        </w:rPr>
        <w:t>marginal lending rate</w:t>
      </w:r>
      <w:r w:rsidRPr="00722784">
        <w:rPr>
          <w:rStyle w:val="sb8d990e2"/>
          <w:lang w:val="pl-PL"/>
        </w:rPr>
        <w:t xml:space="preserve"> - m</w:t>
      </w:r>
      <w:r w:rsidRPr="00722784">
        <w:rPr>
          <w:lang w:val="pl-PL"/>
        </w:rPr>
        <w:t>arginalna (ew. krańcowa) stopa procentowa</w:t>
      </w:r>
      <w:r w:rsidR="001041E2">
        <w:rPr>
          <w:lang w:val="pl-PL"/>
        </w:rPr>
        <w:t xml:space="preserve"> </w:t>
      </w:r>
      <w:r w:rsidR="00803759">
        <w:rPr>
          <w:lang w:val="pl-PL"/>
        </w:rPr>
        <w:t>[EBC]</w:t>
      </w:r>
    </w:p>
    <w:p w:rsidR="001F43A0" w:rsidRPr="00722784" w:rsidRDefault="001F43A0" w:rsidP="0011458C">
      <w:pPr>
        <w:spacing w:after="120" w:line="240" w:lineRule="auto"/>
        <w:rPr>
          <w:lang w:val="pl-PL"/>
        </w:rPr>
      </w:pPr>
      <w:r>
        <w:rPr>
          <w:b/>
          <w:lang w:val="pl-PL"/>
        </w:rPr>
        <w:t>m</w:t>
      </w:r>
      <w:r w:rsidRPr="00722784">
        <w:rPr>
          <w:b/>
          <w:lang w:val="pl-PL"/>
        </w:rPr>
        <w:t>erits</w:t>
      </w:r>
      <w:r w:rsidRPr="00722784">
        <w:rPr>
          <w:lang w:val="pl-PL"/>
        </w:rPr>
        <w:t xml:space="preserve"> – przedmiot </w:t>
      </w:r>
      <w:r>
        <w:rPr>
          <w:lang w:val="pl-PL"/>
        </w:rPr>
        <w:t>skargi</w:t>
      </w:r>
      <w:r w:rsidRPr="00722784">
        <w:rPr>
          <w:lang w:val="pl-PL"/>
        </w:rPr>
        <w:t xml:space="preserve"> (w odróżnieniu od dopuszczalności)</w:t>
      </w:r>
      <w:r>
        <w:rPr>
          <w:lang w:val="pl-PL"/>
        </w:rPr>
        <w:t xml:space="preserve"> – jak w tłumaczeniu art. 29 Konwencji </w:t>
      </w:r>
    </w:p>
    <w:p w:rsidR="001F43A0" w:rsidRPr="00150A1E" w:rsidRDefault="001F43A0" w:rsidP="0011458C">
      <w:pPr>
        <w:spacing w:after="120" w:line="240" w:lineRule="auto"/>
      </w:pPr>
      <w:r w:rsidRPr="00150A1E">
        <w:rPr>
          <w:b/>
        </w:rPr>
        <w:t>objective and reasonable justifica</w:t>
      </w:r>
      <w:r w:rsidRPr="007D6BD9">
        <w:rPr>
          <w:b/>
        </w:rPr>
        <w:t>tion</w:t>
      </w:r>
      <w:r w:rsidRPr="00150A1E">
        <w:t xml:space="preserve"> – obiektywne i rozsądne uzasadnienie</w:t>
      </w:r>
    </w:p>
    <w:p w:rsidR="00402EBB" w:rsidRPr="00402EBB" w:rsidRDefault="00402EBB" w:rsidP="0011458C">
      <w:pPr>
        <w:spacing w:after="120" w:line="240" w:lineRule="auto"/>
        <w:rPr>
          <w:rStyle w:val="JuParaChar"/>
          <w:b/>
          <w:sz w:val="22"/>
          <w:szCs w:val="22"/>
          <w:lang w:val="pl-PL"/>
        </w:rPr>
      </w:pPr>
      <w:r w:rsidRPr="00402EBB">
        <w:rPr>
          <w:rStyle w:val="JuParaChar"/>
          <w:b/>
          <w:sz w:val="22"/>
          <w:szCs w:val="22"/>
          <w:lang w:val="pl-PL"/>
        </w:rPr>
        <w:t xml:space="preserve">observations </w:t>
      </w:r>
      <w:r w:rsidRPr="00402EBB">
        <w:rPr>
          <w:rStyle w:val="JuParaChar"/>
          <w:sz w:val="22"/>
          <w:szCs w:val="22"/>
          <w:lang w:val="pl-PL"/>
        </w:rPr>
        <w:t>– w kontekście postępowania przed ETPCz: obserwacje</w:t>
      </w:r>
      <w:r w:rsidRPr="00402EBB">
        <w:rPr>
          <w:rStyle w:val="JuParaChar"/>
          <w:b/>
          <w:sz w:val="22"/>
          <w:szCs w:val="22"/>
          <w:lang w:val="pl-PL"/>
        </w:rPr>
        <w:t xml:space="preserve"> </w:t>
      </w:r>
      <w:r w:rsidR="00803759" w:rsidRPr="00803759">
        <w:rPr>
          <w:rStyle w:val="JuParaChar"/>
          <w:sz w:val="22"/>
          <w:szCs w:val="22"/>
          <w:lang w:val="pl-PL"/>
        </w:rPr>
        <w:t xml:space="preserve">lub </w:t>
      </w:r>
      <w:r w:rsidR="00803759">
        <w:rPr>
          <w:rStyle w:val="JuParaChar"/>
          <w:sz w:val="22"/>
          <w:szCs w:val="22"/>
          <w:lang w:val="pl-PL"/>
        </w:rPr>
        <w:t xml:space="preserve">ew. </w:t>
      </w:r>
      <w:r w:rsidR="00803759" w:rsidRPr="00803759">
        <w:rPr>
          <w:rStyle w:val="JuParaChar"/>
          <w:sz w:val="22"/>
          <w:szCs w:val="22"/>
          <w:lang w:val="pl-PL"/>
        </w:rPr>
        <w:t>uwagi</w:t>
      </w:r>
      <w:r w:rsidR="00803759">
        <w:rPr>
          <w:rStyle w:val="JuParaChar"/>
          <w:b/>
          <w:sz w:val="22"/>
          <w:szCs w:val="22"/>
          <w:lang w:val="pl-PL"/>
        </w:rPr>
        <w:t xml:space="preserve"> </w:t>
      </w:r>
      <w:r w:rsidRPr="00402EBB">
        <w:rPr>
          <w:rStyle w:val="JuParaChar"/>
          <w:sz w:val="22"/>
          <w:szCs w:val="22"/>
          <w:lang w:val="pl-PL"/>
        </w:rPr>
        <w:t>[stron, rządu, skarżącego]</w:t>
      </w:r>
    </w:p>
    <w:p w:rsidR="007D6BD9" w:rsidRPr="00177D15" w:rsidRDefault="007D6BD9" w:rsidP="0011458C">
      <w:pPr>
        <w:spacing w:after="120" w:line="240" w:lineRule="auto"/>
        <w:rPr>
          <w:rStyle w:val="JuParaChar"/>
          <w:sz w:val="22"/>
          <w:szCs w:val="22"/>
          <w:lang w:val="pl-PL"/>
        </w:rPr>
      </w:pPr>
      <w:r w:rsidRPr="00177D15">
        <w:rPr>
          <w:rStyle w:val="JuParaChar"/>
          <w:b/>
          <w:sz w:val="22"/>
          <w:szCs w:val="22"/>
          <w:lang w:val="pl-PL"/>
        </w:rPr>
        <w:t xml:space="preserve">pilot judgment – </w:t>
      </w:r>
      <w:r w:rsidRPr="00177D15">
        <w:rPr>
          <w:rStyle w:val="JuParaChar"/>
          <w:sz w:val="22"/>
          <w:szCs w:val="22"/>
          <w:lang w:val="pl-PL"/>
        </w:rPr>
        <w:t>wyrok pilotażowy</w:t>
      </w:r>
    </w:p>
    <w:p w:rsidR="001F43A0" w:rsidRPr="00177D15" w:rsidRDefault="001F43A0" w:rsidP="0011458C">
      <w:pPr>
        <w:spacing w:after="120" w:line="240" w:lineRule="auto"/>
        <w:rPr>
          <w:rStyle w:val="sb8d990e2"/>
          <w:lang w:val="pl-PL"/>
        </w:rPr>
      </w:pPr>
      <w:r w:rsidRPr="00177D15">
        <w:rPr>
          <w:rStyle w:val="JuParaChar"/>
          <w:b/>
          <w:sz w:val="22"/>
          <w:szCs w:val="22"/>
          <w:lang w:val="pl-PL"/>
        </w:rPr>
        <w:t>place an excessive and disproportionate burden on the applicant</w:t>
      </w:r>
      <w:r w:rsidRPr="00177D15">
        <w:rPr>
          <w:rStyle w:val="JuParaChar"/>
          <w:sz w:val="22"/>
          <w:szCs w:val="22"/>
          <w:lang w:val="pl-PL"/>
        </w:rPr>
        <w:t xml:space="preserve"> – nałożyć nadmierny i nieproporcjonalny ciężar na skarżącego</w:t>
      </w:r>
    </w:p>
    <w:p w:rsidR="002455B0" w:rsidRDefault="002455B0" w:rsidP="0011458C">
      <w:pPr>
        <w:spacing w:after="120" w:line="240" w:lineRule="auto"/>
        <w:rPr>
          <w:b/>
          <w:lang w:val="pl-PL"/>
        </w:rPr>
      </w:pPr>
      <w:r>
        <w:rPr>
          <w:b/>
          <w:lang w:val="pl-PL"/>
        </w:rPr>
        <w:t xml:space="preserve">positive obligations </w:t>
      </w:r>
      <w:r w:rsidRPr="002455B0">
        <w:rPr>
          <w:lang w:val="pl-PL"/>
        </w:rPr>
        <w:t>– obowiązki pozytywne [Państwa]</w:t>
      </w:r>
    </w:p>
    <w:p w:rsidR="007D6BD9" w:rsidRPr="00177D15" w:rsidRDefault="007D6BD9" w:rsidP="0011458C">
      <w:pPr>
        <w:spacing w:after="120" w:line="240" w:lineRule="auto"/>
        <w:rPr>
          <w:b/>
          <w:lang w:val="pl-PL"/>
        </w:rPr>
      </w:pPr>
      <w:r w:rsidRPr="00177D15">
        <w:rPr>
          <w:b/>
          <w:lang w:val="pl-PL"/>
        </w:rPr>
        <w:t xml:space="preserve">preliminary issue </w:t>
      </w:r>
      <w:r w:rsidRPr="00177D15">
        <w:rPr>
          <w:lang w:val="pl-PL"/>
        </w:rPr>
        <w:t>– zagadnienie wstępne</w:t>
      </w:r>
    </w:p>
    <w:p w:rsidR="001F43A0" w:rsidRDefault="001F43A0" w:rsidP="0011458C">
      <w:pPr>
        <w:spacing w:after="120" w:line="240" w:lineRule="auto"/>
        <w:rPr>
          <w:lang w:val="pl-PL"/>
        </w:rPr>
      </w:pPr>
      <w:r w:rsidRPr="00722784">
        <w:rPr>
          <w:b/>
          <w:lang w:val="pl-PL"/>
        </w:rPr>
        <w:t>preliminary objection</w:t>
      </w:r>
      <w:r w:rsidRPr="00722784">
        <w:rPr>
          <w:lang w:val="pl-PL"/>
        </w:rPr>
        <w:t xml:space="preserve"> – </w:t>
      </w:r>
      <w:r w:rsidR="007D6BD9">
        <w:rPr>
          <w:lang w:val="pl-PL"/>
        </w:rPr>
        <w:t>zastrzeżenie</w:t>
      </w:r>
      <w:r>
        <w:rPr>
          <w:lang w:val="pl-PL"/>
        </w:rPr>
        <w:t xml:space="preserve"> </w:t>
      </w:r>
      <w:r w:rsidR="007D6BD9">
        <w:rPr>
          <w:lang w:val="pl-PL"/>
        </w:rPr>
        <w:t>wstępne</w:t>
      </w:r>
    </w:p>
    <w:p w:rsidR="00731FE0" w:rsidRDefault="00731FE0" w:rsidP="0011458C">
      <w:pPr>
        <w:spacing w:after="120" w:line="240" w:lineRule="auto"/>
        <w:rPr>
          <w:rStyle w:val="sdfc50a6a"/>
          <w:lang w:val="pl-PL"/>
        </w:rPr>
      </w:pPr>
      <w:r w:rsidRPr="00731FE0">
        <w:rPr>
          <w:rStyle w:val="sdfc50a6a"/>
          <w:b/>
          <w:lang w:val="pl-PL"/>
        </w:rPr>
        <w:t>President of the European Court of Human Rights</w:t>
      </w:r>
      <w:r>
        <w:rPr>
          <w:rStyle w:val="sdfc50a6a"/>
          <w:lang w:val="pl-PL"/>
        </w:rPr>
        <w:t xml:space="preserve"> – tradycyjnie tłumaczone jako: Prezes Europejskiego Trybunału Praw Człowieka</w:t>
      </w:r>
    </w:p>
    <w:p w:rsidR="00731FE0" w:rsidRDefault="00AD4548" w:rsidP="0011458C">
      <w:pPr>
        <w:spacing w:after="120" w:line="240" w:lineRule="auto"/>
        <w:rPr>
          <w:rStyle w:val="sdfc50a6a"/>
          <w:lang w:val="pl-PL"/>
        </w:rPr>
      </w:pPr>
      <w:r w:rsidRPr="00AD4548">
        <w:rPr>
          <w:rStyle w:val="sdfc50a6a"/>
          <w:b/>
          <w:lang w:val="pl-PL"/>
        </w:rPr>
        <w:t xml:space="preserve">Section </w:t>
      </w:r>
      <w:r w:rsidR="00731FE0" w:rsidRPr="00AD4548">
        <w:rPr>
          <w:rStyle w:val="sdfc50a6a"/>
          <w:b/>
          <w:lang w:val="pl-PL"/>
        </w:rPr>
        <w:t>President</w:t>
      </w:r>
      <w:r w:rsidRPr="00AD4548">
        <w:rPr>
          <w:rStyle w:val="sdfc50a6a"/>
          <w:b/>
          <w:lang w:val="pl-PL"/>
        </w:rPr>
        <w:t xml:space="preserve"> </w:t>
      </w:r>
      <w:r w:rsidR="00731FE0" w:rsidRPr="00AD4548">
        <w:rPr>
          <w:rStyle w:val="sdfc50a6a"/>
          <w:lang w:val="pl-PL"/>
        </w:rPr>
        <w:t xml:space="preserve">– Przewodniczący </w:t>
      </w:r>
      <w:r>
        <w:rPr>
          <w:rStyle w:val="sdfc50a6a"/>
          <w:lang w:val="pl-PL"/>
        </w:rPr>
        <w:t xml:space="preserve">Sekcji </w:t>
      </w:r>
      <w:r w:rsidR="00B05ED7">
        <w:rPr>
          <w:rStyle w:val="sdfc50a6a"/>
          <w:lang w:val="pl-PL"/>
        </w:rPr>
        <w:t xml:space="preserve"> </w:t>
      </w:r>
    </w:p>
    <w:p w:rsidR="00B05ED7" w:rsidRPr="00AD4548" w:rsidRDefault="00B05ED7" w:rsidP="0011458C">
      <w:pPr>
        <w:spacing w:after="120" w:line="240" w:lineRule="auto"/>
        <w:rPr>
          <w:rStyle w:val="sdfc50a6a"/>
          <w:lang w:val="pl-PL"/>
        </w:rPr>
      </w:pPr>
      <w:r w:rsidRPr="00B05ED7">
        <w:rPr>
          <w:rStyle w:val="sdfc50a6a"/>
          <w:b/>
          <w:lang w:val="pl-PL"/>
        </w:rPr>
        <w:t>President</w:t>
      </w:r>
      <w:r>
        <w:rPr>
          <w:rStyle w:val="sdfc50a6a"/>
          <w:lang w:val="pl-PL"/>
        </w:rPr>
        <w:t xml:space="preserve"> – Przewodniczący (gdy w kontekście składu orzekającego Trybunału w danej sprawie)</w:t>
      </w:r>
    </w:p>
    <w:p w:rsidR="001F43A0" w:rsidRPr="00722784" w:rsidRDefault="001F43A0" w:rsidP="0011458C">
      <w:pPr>
        <w:spacing w:after="120" w:line="240" w:lineRule="auto"/>
        <w:rPr>
          <w:lang w:val="pl-PL"/>
        </w:rPr>
      </w:pPr>
      <w:r w:rsidRPr="00722784">
        <w:rPr>
          <w:rStyle w:val="sdfc50a6a"/>
          <w:lang w:val="pl-PL"/>
        </w:rPr>
        <w:t xml:space="preserve">Protokół </w:t>
      </w:r>
      <w:r w:rsidRPr="00F679BD">
        <w:rPr>
          <w:rStyle w:val="sdfc50a6a"/>
          <w:b/>
          <w:lang w:val="pl-PL"/>
        </w:rPr>
        <w:t>n</w:t>
      </w:r>
      <w:r w:rsidRPr="00722784">
        <w:rPr>
          <w:rStyle w:val="sdfc50a6a"/>
          <w:lang w:val="pl-PL"/>
        </w:rPr>
        <w:t xml:space="preserve">r 1 </w:t>
      </w:r>
      <w:r w:rsidRPr="00722784">
        <w:rPr>
          <w:rStyle w:val="sdfc50a6a"/>
          <w:b/>
          <w:lang w:val="pl-PL"/>
        </w:rPr>
        <w:t xml:space="preserve">do </w:t>
      </w:r>
      <w:r w:rsidRPr="00722784">
        <w:rPr>
          <w:rStyle w:val="sdfc50a6a"/>
          <w:lang w:val="pl-PL"/>
        </w:rPr>
        <w:t>Konwencji</w:t>
      </w:r>
      <w:r w:rsidR="00B108F7">
        <w:rPr>
          <w:rStyle w:val="sdfc50a6a"/>
          <w:lang w:val="pl-PL"/>
        </w:rPr>
        <w:t>, itp.</w:t>
      </w:r>
      <w:r w:rsidR="00F85F7A">
        <w:rPr>
          <w:rStyle w:val="sdfc50a6a"/>
          <w:lang w:val="pl-PL"/>
        </w:rPr>
        <w:t xml:space="preserve"> (nie: „Nr”)</w:t>
      </w:r>
    </w:p>
    <w:p w:rsidR="001F43A0" w:rsidRPr="00722784" w:rsidRDefault="001F43A0" w:rsidP="0011458C">
      <w:pPr>
        <w:spacing w:after="120" w:line="240" w:lineRule="auto"/>
        <w:rPr>
          <w:lang w:val="pl-PL"/>
        </w:rPr>
      </w:pPr>
      <w:r w:rsidRPr="00722784">
        <w:rPr>
          <w:b/>
          <w:lang w:val="pl-PL"/>
        </w:rPr>
        <w:t>pursue a legitimate aim</w:t>
      </w:r>
      <w:r w:rsidRPr="00722784">
        <w:rPr>
          <w:lang w:val="pl-PL"/>
        </w:rPr>
        <w:t xml:space="preserve"> – dążyć do </w:t>
      </w:r>
      <w:r w:rsidR="00F85F7A">
        <w:rPr>
          <w:lang w:val="pl-PL"/>
        </w:rPr>
        <w:t>(</w:t>
      </w:r>
      <w:r w:rsidRPr="00722784">
        <w:rPr>
          <w:lang w:val="pl-PL"/>
        </w:rPr>
        <w:t>realizacji</w:t>
      </w:r>
      <w:r w:rsidR="00F85F7A">
        <w:rPr>
          <w:lang w:val="pl-PL"/>
        </w:rPr>
        <w:t>)</w:t>
      </w:r>
      <w:r w:rsidRPr="00722784">
        <w:rPr>
          <w:lang w:val="pl-PL"/>
        </w:rPr>
        <w:t xml:space="preserve"> uprawnionego celu</w:t>
      </w:r>
    </w:p>
    <w:p w:rsidR="001F43A0" w:rsidRPr="00722784" w:rsidRDefault="001F43A0" w:rsidP="0011458C">
      <w:pPr>
        <w:spacing w:after="120" w:line="240" w:lineRule="auto"/>
        <w:rPr>
          <w:lang w:val="pl-PL"/>
        </w:rPr>
      </w:pPr>
      <w:r w:rsidRPr="00722784">
        <w:rPr>
          <w:b/>
          <w:lang w:val="pl-PL"/>
        </w:rPr>
        <w:t>reasonable relationship of proportionality</w:t>
      </w:r>
      <w:r w:rsidRPr="00722784">
        <w:rPr>
          <w:lang w:val="pl-PL"/>
        </w:rPr>
        <w:t xml:space="preserve"> –</w:t>
      </w:r>
      <w:r>
        <w:rPr>
          <w:lang w:val="pl-PL"/>
        </w:rPr>
        <w:t>pozostawać w rozsądnej proporcji do …</w:t>
      </w:r>
    </w:p>
    <w:p w:rsidR="001F43A0" w:rsidRPr="00722784" w:rsidRDefault="001F43A0" w:rsidP="0011458C">
      <w:pPr>
        <w:spacing w:after="120" w:line="240" w:lineRule="auto"/>
        <w:rPr>
          <w:lang w:val="pl-PL"/>
        </w:rPr>
      </w:pPr>
      <w:r w:rsidRPr="00722784">
        <w:rPr>
          <w:b/>
          <w:lang w:val="pl-PL"/>
        </w:rPr>
        <w:t>reasonable, reasonably</w:t>
      </w:r>
      <w:r w:rsidRPr="00722784">
        <w:rPr>
          <w:lang w:val="pl-PL"/>
        </w:rPr>
        <w:t xml:space="preserve"> – </w:t>
      </w:r>
      <w:r w:rsidR="00F85F7A">
        <w:rPr>
          <w:lang w:val="pl-PL"/>
        </w:rPr>
        <w:t xml:space="preserve">w zależności od kontekstu „uzasadniony” lub </w:t>
      </w:r>
      <w:r w:rsidRPr="00722784">
        <w:rPr>
          <w:lang w:val="pl-PL"/>
        </w:rPr>
        <w:t>“rozsądny”, “rozsądnie”</w:t>
      </w:r>
      <w:r w:rsidR="00F85F7A">
        <w:rPr>
          <w:lang w:val="pl-PL"/>
        </w:rPr>
        <w:t xml:space="preserve">, np. </w:t>
      </w:r>
      <w:r w:rsidR="00E16E05">
        <w:rPr>
          <w:lang w:val="pl-PL"/>
        </w:rPr>
        <w:t>„rozsądny termin</w:t>
      </w:r>
      <w:r w:rsidR="0002237B">
        <w:rPr>
          <w:lang w:val="pl-PL"/>
        </w:rPr>
        <w:t>/długość postępowania”</w:t>
      </w:r>
      <w:r w:rsidR="00F85F7A">
        <w:rPr>
          <w:lang w:val="pl-PL"/>
        </w:rPr>
        <w:t>, uzasadniona</w:t>
      </w:r>
      <w:r w:rsidR="00731FE0">
        <w:rPr>
          <w:lang w:val="pl-PL"/>
        </w:rPr>
        <w:t xml:space="preserve"> </w:t>
      </w:r>
      <w:r w:rsidR="00F85F7A">
        <w:rPr>
          <w:lang w:val="pl-PL"/>
        </w:rPr>
        <w:t>długość tymczasowego aresztowania</w:t>
      </w:r>
      <w:r>
        <w:rPr>
          <w:lang w:val="pl-PL"/>
        </w:rPr>
        <w:t>.</w:t>
      </w:r>
    </w:p>
    <w:p w:rsidR="007D6BD9" w:rsidRDefault="00D61D1C" w:rsidP="0011458C">
      <w:pPr>
        <w:spacing w:after="120" w:line="240" w:lineRule="auto"/>
        <w:rPr>
          <w:lang w:val="pl-PL"/>
        </w:rPr>
      </w:pPr>
      <w:r>
        <w:rPr>
          <w:b/>
          <w:lang w:val="pl-PL"/>
        </w:rPr>
        <w:t>r</w:t>
      </w:r>
      <w:r w:rsidR="007D6BD9">
        <w:rPr>
          <w:b/>
          <w:lang w:val="pl-PL"/>
        </w:rPr>
        <w:t>easons</w:t>
      </w:r>
      <w:r>
        <w:rPr>
          <w:b/>
          <w:lang w:val="pl-PL"/>
        </w:rPr>
        <w:t>, reasoning</w:t>
      </w:r>
      <w:r w:rsidR="007D6BD9">
        <w:rPr>
          <w:b/>
          <w:lang w:val="pl-PL"/>
        </w:rPr>
        <w:t xml:space="preserve"> </w:t>
      </w:r>
      <w:r w:rsidR="007D6BD9" w:rsidRPr="007D6BD9">
        <w:rPr>
          <w:lang w:val="pl-PL"/>
        </w:rPr>
        <w:t xml:space="preserve">– w </w:t>
      </w:r>
      <w:r w:rsidR="00936B84" w:rsidRPr="007D6BD9">
        <w:rPr>
          <w:lang w:val="pl-PL"/>
        </w:rPr>
        <w:t>kontekście</w:t>
      </w:r>
      <w:r w:rsidR="007D6BD9" w:rsidRPr="007D6BD9">
        <w:rPr>
          <w:lang w:val="pl-PL"/>
        </w:rPr>
        <w:t xml:space="preserve"> orzeczeń sądów </w:t>
      </w:r>
      <w:r w:rsidR="00F85F7A">
        <w:rPr>
          <w:lang w:val="pl-PL"/>
        </w:rPr>
        <w:t xml:space="preserve">i ETPCz </w:t>
      </w:r>
      <w:r w:rsidR="007D6BD9" w:rsidRPr="007D6BD9">
        <w:rPr>
          <w:lang w:val="pl-PL"/>
        </w:rPr>
        <w:t>może oznaczać „uzasadnienie”</w:t>
      </w:r>
      <w:r w:rsidR="00E16E05">
        <w:rPr>
          <w:lang w:val="pl-PL"/>
        </w:rPr>
        <w:t xml:space="preserve"> </w:t>
      </w:r>
    </w:p>
    <w:p w:rsidR="00E16E05" w:rsidRDefault="00E16E05" w:rsidP="0011458C">
      <w:pPr>
        <w:spacing w:after="120" w:line="240" w:lineRule="auto"/>
        <w:rPr>
          <w:lang w:val="pl-PL"/>
        </w:rPr>
      </w:pPr>
      <w:r w:rsidRPr="00E16E05">
        <w:rPr>
          <w:b/>
          <w:lang w:val="pl-PL"/>
        </w:rPr>
        <w:t>reasoned judgment</w:t>
      </w:r>
      <w:r>
        <w:rPr>
          <w:lang w:val="pl-PL"/>
        </w:rPr>
        <w:t xml:space="preserve"> – wyrok z uzasadnienie</w:t>
      </w:r>
      <w:r w:rsidR="00061ADB">
        <w:rPr>
          <w:lang w:val="pl-PL"/>
        </w:rPr>
        <w:t>m</w:t>
      </w:r>
    </w:p>
    <w:p w:rsidR="001F43A0" w:rsidRDefault="001F43A0" w:rsidP="0011458C">
      <w:pPr>
        <w:spacing w:after="120" w:line="240" w:lineRule="auto"/>
        <w:rPr>
          <w:lang w:val="pl-PL"/>
        </w:rPr>
      </w:pPr>
      <w:r>
        <w:rPr>
          <w:b/>
          <w:lang w:val="pl-PL"/>
        </w:rPr>
        <w:t xml:space="preserve">Registrar </w:t>
      </w:r>
      <w:r>
        <w:rPr>
          <w:lang w:val="pl-PL"/>
        </w:rPr>
        <w:t>–</w:t>
      </w:r>
      <w:r w:rsidRPr="00906EA6">
        <w:rPr>
          <w:lang w:val="pl-PL"/>
        </w:rPr>
        <w:t xml:space="preserve"> Kanclerz</w:t>
      </w:r>
      <w:r w:rsidR="00900877">
        <w:rPr>
          <w:lang w:val="pl-PL"/>
        </w:rPr>
        <w:t xml:space="preserve"> </w:t>
      </w:r>
    </w:p>
    <w:p w:rsidR="00731FE0" w:rsidRPr="00731FE0" w:rsidRDefault="00731FE0" w:rsidP="00731FE0">
      <w:pPr>
        <w:pStyle w:val="Akapitzlist"/>
        <w:numPr>
          <w:ilvl w:val="0"/>
          <w:numId w:val="8"/>
        </w:numPr>
        <w:spacing w:after="120" w:line="240" w:lineRule="auto"/>
      </w:pPr>
      <w:r w:rsidRPr="00731FE0">
        <w:rPr>
          <w:b/>
        </w:rPr>
        <w:t>Section Registrar</w:t>
      </w:r>
      <w:r w:rsidRPr="00731FE0">
        <w:t xml:space="preserve"> – Kanclerz Sekcji</w:t>
      </w:r>
    </w:p>
    <w:p w:rsidR="001F43A0" w:rsidRDefault="001F43A0" w:rsidP="0011458C">
      <w:pPr>
        <w:spacing w:after="120" w:line="240" w:lineRule="auto"/>
        <w:rPr>
          <w:lang w:val="pl-PL"/>
        </w:rPr>
      </w:pPr>
      <w:r w:rsidRPr="00AB49BB">
        <w:rPr>
          <w:b/>
          <w:lang w:val="pl-PL"/>
        </w:rPr>
        <w:t>Registry</w:t>
      </w:r>
      <w:r w:rsidRPr="00AB49BB">
        <w:rPr>
          <w:lang w:val="pl-PL"/>
        </w:rPr>
        <w:t xml:space="preserve"> – Kancelaria [Trybunału]</w:t>
      </w:r>
    </w:p>
    <w:p w:rsidR="00936B84" w:rsidRPr="00936B84" w:rsidRDefault="00936B84" w:rsidP="0011458C">
      <w:pPr>
        <w:spacing w:after="120" w:line="240" w:lineRule="auto"/>
        <w:rPr>
          <w:rStyle w:val="sb8d990e2"/>
          <w:lang w:val="pl-PL"/>
        </w:rPr>
      </w:pPr>
      <w:r>
        <w:rPr>
          <w:rStyle w:val="sb8d990e2"/>
          <w:b/>
          <w:lang w:val="pl-PL"/>
        </w:rPr>
        <w:t>r</w:t>
      </w:r>
      <w:r w:rsidRPr="00936B84">
        <w:rPr>
          <w:rStyle w:val="sb8d990e2"/>
          <w:b/>
          <w:lang w:val="pl-PL"/>
        </w:rPr>
        <w:t>elevant</w:t>
      </w:r>
      <w:r>
        <w:rPr>
          <w:rStyle w:val="sb8d990e2"/>
          <w:b/>
          <w:lang w:val="pl-PL"/>
        </w:rPr>
        <w:t xml:space="preserve"> </w:t>
      </w:r>
      <w:r w:rsidRPr="00936B84">
        <w:rPr>
          <w:rStyle w:val="sb8d990e2"/>
          <w:lang w:val="pl-PL"/>
        </w:rPr>
        <w:t>– istotny, właściwy, mający znaczenie w sprawie</w:t>
      </w:r>
    </w:p>
    <w:p w:rsidR="001F43A0" w:rsidRPr="00722784" w:rsidRDefault="001F43A0" w:rsidP="0011458C">
      <w:pPr>
        <w:spacing w:after="120" w:line="240" w:lineRule="auto"/>
        <w:rPr>
          <w:lang w:val="pl-PL"/>
        </w:rPr>
      </w:pPr>
      <w:r w:rsidRPr="00AB49BB">
        <w:rPr>
          <w:rStyle w:val="sb8d990e2"/>
          <w:b/>
          <w:lang w:val="pl-PL"/>
        </w:rPr>
        <w:t>relevant domestic law and practice</w:t>
      </w:r>
      <w:r>
        <w:rPr>
          <w:rStyle w:val="sb8d990e2"/>
          <w:lang w:val="pl-PL"/>
        </w:rPr>
        <w:t xml:space="preserve"> – </w:t>
      </w:r>
      <w:r w:rsidR="00F85F7A">
        <w:rPr>
          <w:rStyle w:val="sb8d990e2"/>
          <w:lang w:val="pl-PL"/>
        </w:rPr>
        <w:t xml:space="preserve">tradycyjnie: </w:t>
      </w:r>
      <w:r>
        <w:rPr>
          <w:rStyle w:val="sb8d990e2"/>
          <w:lang w:val="pl-PL"/>
        </w:rPr>
        <w:t>właściwe prawo krajowe i praktyka</w:t>
      </w:r>
    </w:p>
    <w:p w:rsidR="001F43A0" w:rsidRDefault="001F43A0" w:rsidP="0011458C">
      <w:pPr>
        <w:spacing w:after="120" w:line="240" w:lineRule="auto"/>
        <w:rPr>
          <w:rStyle w:val="sb8d990e2"/>
          <w:lang w:val="pl-PL"/>
        </w:rPr>
      </w:pPr>
      <w:r>
        <w:rPr>
          <w:rStyle w:val="sb8d990e2"/>
          <w:b/>
          <w:lang w:val="pl-PL"/>
        </w:rPr>
        <w:t>r</w:t>
      </w:r>
      <w:r w:rsidRPr="00722784">
        <w:rPr>
          <w:rStyle w:val="sb8d990e2"/>
          <w:b/>
          <w:lang w:val="pl-PL"/>
        </w:rPr>
        <w:t>elevantly similar situation</w:t>
      </w:r>
      <w:r w:rsidRPr="00722784">
        <w:rPr>
          <w:rStyle w:val="sb8d990e2"/>
          <w:lang w:val="pl-PL"/>
        </w:rPr>
        <w:t xml:space="preserve"> - w istotny sposób podobna sytuacja</w:t>
      </w:r>
    </w:p>
    <w:p w:rsidR="001F43A0" w:rsidRPr="00AB49BB" w:rsidRDefault="001F43A0" w:rsidP="0011458C">
      <w:pPr>
        <w:spacing w:after="120" w:line="240" w:lineRule="auto"/>
        <w:rPr>
          <w:lang w:val="en-US"/>
        </w:rPr>
      </w:pPr>
      <w:r w:rsidRPr="00AB49BB">
        <w:rPr>
          <w:b/>
          <w:lang w:val="en-US"/>
        </w:rPr>
        <w:t>re-opening of the proceedings</w:t>
      </w:r>
      <w:r w:rsidRPr="00AB49BB">
        <w:rPr>
          <w:lang w:val="en-US"/>
        </w:rPr>
        <w:t xml:space="preserve"> – wznowienie postępowania</w:t>
      </w:r>
    </w:p>
    <w:p w:rsidR="001F43A0" w:rsidRPr="00722784" w:rsidRDefault="001F43A0" w:rsidP="0011458C">
      <w:pPr>
        <w:spacing w:after="120" w:line="240" w:lineRule="auto"/>
      </w:pPr>
      <w:r w:rsidRPr="002C3E45">
        <w:rPr>
          <w:b/>
          <w:i/>
          <w:iCs/>
        </w:rPr>
        <w:t>Reports of Judgments and Decisions</w:t>
      </w:r>
      <w:r w:rsidRPr="002C3E45">
        <w:t xml:space="preserve">  - Zbiór Wyroków i Decyzji</w:t>
      </w:r>
      <w:r w:rsidRPr="00722784">
        <w:t xml:space="preserve"> </w:t>
      </w:r>
      <w:r w:rsidR="0011458C">
        <w:t xml:space="preserve"> </w:t>
      </w:r>
    </w:p>
    <w:p w:rsidR="001F43A0" w:rsidRDefault="001F43A0" w:rsidP="0011458C">
      <w:pPr>
        <w:spacing w:after="120" w:line="240" w:lineRule="auto"/>
        <w:rPr>
          <w:lang w:val="pl-PL"/>
        </w:rPr>
      </w:pPr>
      <w:r>
        <w:rPr>
          <w:b/>
          <w:lang w:val="pl-PL"/>
        </w:rPr>
        <w:lastRenderedPageBreak/>
        <w:t>r</w:t>
      </w:r>
      <w:r w:rsidRPr="00722784">
        <w:rPr>
          <w:b/>
          <w:lang w:val="pl-PL"/>
        </w:rPr>
        <w:t>ight to freedom of expression</w:t>
      </w:r>
      <w:r w:rsidRPr="00722784">
        <w:rPr>
          <w:lang w:val="pl-PL"/>
        </w:rPr>
        <w:t xml:space="preserve"> – prawo do wolności wyrażania opinii</w:t>
      </w:r>
    </w:p>
    <w:p w:rsidR="001F43A0" w:rsidRDefault="001F43A0" w:rsidP="0011458C">
      <w:pPr>
        <w:spacing w:after="120" w:line="240" w:lineRule="auto"/>
        <w:rPr>
          <w:lang w:val="pl-PL"/>
        </w:rPr>
      </w:pPr>
      <w:r w:rsidRPr="00722784">
        <w:rPr>
          <w:b/>
          <w:lang w:val="pl-PL"/>
        </w:rPr>
        <w:t>right to receive information</w:t>
      </w:r>
      <w:r w:rsidRPr="00722784">
        <w:rPr>
          <w:lang w:val="pl-PL"/>
        </w:rPr>
        <w:t xml:space="preserve"> –</w:t>
      </w:r>
      <w:r>
        <w:rPr>
          <w:lang w:val="pl-PL"/>
        </w:rPr>
        <w:t xml:space="preserve"> </w:t>
      </w:r>
      <w:r w:rsidRPr="00722784">
        <w:rPr>
          <w:lang w:val="pl-PL"/>
        </w:rPr>
        <w:t>pr</w:t>
      </w:r>
      <w:r>
        <w:rPr>
          <w:lang w:val="pl-PL"/>
        </w:rPr>
        <w:t xml:space="preserve">awo do otrzymywania informacji, zamiast np. </w:t>
      </w:r>
      <w:r w:rsidR="0002237B">
        <w:rPr>
          <w:lang w:val="pl-PL"/>
        </w:rPr>
        <w:t>prawo</w:t>
      </w:r>
      <w:r w:rsidRPr="00722784">
        <w:rPr>
          <w:lang w:val="pl-PL"/>
        </w:rPr>
        <w:t xml:space="preserve"> do pozyskiwania informacji </w:t>
      </w:r>
      <w:r>
        <w:rPr>
          <w:lang w:val="pl-PL"/>
        </w:rPr>
        <w:t>(jak tłumaczenie art. 10 Konwencji)</w:t>
      </w:r>
    </w:p>
    <w:p w:rsidR="001F43A0" w:rsidRPr="00BF2519" w:rsidRDefault="00CD1A7C" w:rsidP="0011458C">
      <w:pPr>
        <w:spacing w:after="120" w:line="240" w:lineRule="auto"/>
        <w:rPr>
          <w:lang w:val="en-US"/>
        </w:rPr>
      </w:pPr>
      <w:r>
        <w:rPr>
          <w:b/>
          <w:lang w:val="en-US"/>
        </w:rPr>
        <w:t xml:space="preserve">The </w:t>
      </w:r>
      <w:r w:rsidR="001F43A0" w:rsidRPr="00BF2519">
        <w:rPr>
          <w:b/>
          <w:lang w:val="en-US"/>
        </w:rPr>
        <w:t>Rules [of Court]</w:t>
      </w:r>
      <w:r w:rsidR="001F43A0" w:rsidRPr="00BF2519">
        <w:rPr>
          <w:lang w:val="en-US"/>
        </w:rPr>
        <w:t xml:space="preserve"> – Regulamin Trybunału</w:t>
      </w:r>
    </w:p>
    <w:p w:rsidR="001F43A0" w:rsidRDefault="001F43A0" w:rsidP="0011458C">
      <w:pPr>
        <w:spacing w:after="120" w:line="240" w:lineRule="auto"/>
        <w:rPr>
          <w:lang w:val="pl-PL"/>
        </w:rPr>
      </w:pPr>
      <w:r w:rsidRPr="00BF2519">
        <w:rPr>
          <w:b/>
          <w:lang w:val="pl-PL"/>
        </w:rPr>
        <w:t>separate opinion</w:t>
      </w:r>
      <w:r>
        <w:rPr>
          <w:b/>
          <w:lang w:val="pl-PL"/>
        </w:rPr>
        <w:t xml:space="preserve"> </w:t>
      </w:r>
      <w:r w:rsidRPr="00BF2519">
        <w:rPr>
          <w:lang w:val="pl-PL"/>
        </w:rPr>
        <w:t>– opinia odrębna (jak w tłumaczeniu art. 45 ust. 2 Konwencji)</w:t>
      </w:r>
      <w:r w:rsidR="00395FBB">
        <w:rPr>
          <w:lang w:val="pl-PL"/>
        </w:rPr>
        <w:t xml:space="preserve"> (nie: „zdanie odrębne</w:t>
      </w:r>
      <w:r w:rsidR="0067165F">
        <w:rPr>
          <w:lang w:val="pl-PL"/>
        </w:rPr>
        <w:t>”</w:t>
      </w:r>
      <w:r w:rsidR="00F85F7A">
        <w:rPr>
          <w:lang w:val="pl-PL"/>
        </w:rPr>
        <w:t>, które jest nieco inną instytucją właściwą prawu polskiemu</w:t>
      </w:r>
      <w:r w:rsidR="00395FBB">
        <w:rPr>
          <w:lang w:val="pl-PL"/>
        </w:rPr>
        <w:t>)</w:t>
      </w:r>
    </w:p>
    <w:p w:rsidR="00D641F3" w:rsidRPr="00731FE0" w:rsidRDefault="00936B84" w:rsidP="00731FE0">
      <w:pPr>
        <w:pStyle w:val="Akapitzlist"/>
        <w:numPr>
          <w:ilvl w:val="0"/>
          <w:numId w:val="8"/>
        </w:numPr>
        <w:spacing w:after="120" w:line="240" w:lineRule="auto"/>
      </w:pPr>
      <w:r w:rsidRPr="00731FE0">
        <w:rPr>
          <w:b/>
        </w:rPr>
        <w:t xml:space="preserve">(partly) </w:t>
      </w:r>
      <w:r w:rsidR="00D641F3" w:rsidRPr="00731FE0">
        <w:rPr>
          <w:b/>
        </w:rPr>
        <w:t>dissenting</w:t>
      </w:r>
      <w:r w:rsidR="00223D9E">
        <w:rPr>
          <w:b/>
        </w:rPr>
        <w:t xml:space="preserve"> separate</w:t>
      </w:r>
      <w:r w:rsidR="00D641F3" w:rsidRPr="00731FE0">
        <w:rPr>
          <w:b/>
        </w:rPr>
        <w:t xml:space="preserve"> opinion</w:t>
      </w:r>
      <w:r w:rsidR="00D641F3" w:rsidRPr="00731FE0">
        <w:t xml:space="preserve"> – </w:t>
      </w:r>
      <w:r w:rsidR="004B0F91">
        <w:t xml:space="preserve"> </w:t>
      </w:r>
      <w:r w:rsidR="00F85F7A">
        <w:t xml:space="preserve">(częściowo) </w:t>
      </w:r>
      <w:r w:rsidR="00D641F3" w:rsidRPr="00731FE0">
        <w:t>rozbieżna opinia odrębna</w:t>
      </w:r>
      <w:r w:rsidRPr="00731FE0">
        <w:t xml:space="preserve"> </w:t>
      </w:r>
      <w:r w:rsidR="00F85F7A">
        <w:t xml:space="preserve"> </w:t>
      </w:r>
    </w:p>
    <w:p w:rsidR="00D641F3" w:rsidRPr="00731FE0" w:rsidRDefault="00936B84" w:rsidP="00731FE0">
      <w:pPr>
        <w:pStyle w:val="Akapitzlist"/>
        <w:numPr>
          <w:ilvl w:val="0"/>
          <w:numId w:val="8"/>
        </w:numPr>
        <w:spacing w:after="120" w:line="240" w:lineRule="auto"/>
      </w:pPr>
      <w:r w:rsidRPr="00731FE0">
        <w:rPr>
          <w:b/>
        </w:rPr>
        <w:t xml:space="preserve">(partly) </w:t>
      </w:r>
      <w:r w:rsidR="00D641F3" w:rsidRPr="00731FE0">
        <w:rPr>
          <w:b/>
        </w:rPr>
        <w:t xml:space="preserve">concurring </w:t>
      </w:r>
      <w:r w:rsidR="00223D9E">
        <w:rPr>
          <w:b/>
        </w:rPr>
        <w:t xml:space="preserve">separate </w:t>
      </w:r>
      <w:r w:rsidR="00D641F3" w:rsidRPr="00731FE0">
        <w:rPr>
          <w:b/>
        </w:rPr>
        <w:t>opinion</w:t>
      </w:r>
      <w:r w:rsidR="00D641F3" w:rsidRPr="00731FE0">
        <w:t xml:space="preserve"> </w:t>
      </w:r>
      <w:r w:rsidR="00F85F7A">
        <w:t>–</w:t>
      </w:r>
      <w:r w:rsidR="00D641F3" w:rsidRPr="00731FE0">
        <w:t xml:space="preserve"> </w:t>
      </w:r>
      <w:r w:rsidR="00F85F7A">
        <w:t xml:space="preserve">(częściowo) </w:t>
      </w:r>
      <w:r w:rsidR="00D641F3" w:rsidRPr="00731FE0">
        <w:t>zgodna opinia odrębna</w:t>
      </w:r>
      <w:r w:rsidRPr="00731FE0">
        <w:t xml:space="preserve"> </w:t>
      </w:r>
      <w:r w:rsidR="00F85F7A">
        <w:t xml:space="preserve"> </w:t>
      </w:r>
    </w:p>
    <w:p w:rsidR="00936B84" w:rsidRPr="00731FE0" w:rsidRDefault="00936B84" w:rsidP="00731FE0">
      <w:pPr>
        <w:pStyle w:val="Akapitzlist"/>
        <w:numPr>
          <w:ilvl w:val="0"/>
          <w:numId w:val="8"/>
        </w:numPr>
        <w:spacing w:after="120" w:line="240" w:lineRule="auto"/>
      </w:pPr>
      <w:r w:rsidRPr="00731FE0">
        <w:rPr>
          <w:b/>
        </w:rPr>
        <w:t>joint separate opinion</w:t>
      </w:r>
      <w:r w:rsidRPr="00731FE0">
        <w:t xml:space="preserve"> – wspólna opinia odrębna</w:t>
      </w:r>
    </w:p>
    <w:p w:rsidR="001F43A0" w:rsidRPr="00722784" w:rsidRDefault="001F43A0" w:rsidP="0011458C">
      <w:pPr>
        <w:spacing w:after="120" w:line="240" w:lineRule="auto"/>
        <w:rPr>
          <w:lang w:val="pl-PL"/>
        </w:rPr>
      </w:pPr>
      <w:r w:rsidRPr="00722784">
        <w:rPr>
          <w:b/>
          <w:lang w:val="pl-PL"/>
        </w:rPr>
        <w:t>social benefits</w:t>
      </w:r>
      <w:r w:rsidRPr="00722784">
        <w:rPr>
          <w:lang w:val="pl-PL"/>
        </w:rPr>
        <w:t xml:space="preserve"> (w znaczeniu ogólnym) – świadczenia społeczne</w:t>
      </w:r>
    </w:p>
    <w:p w:rsidR="001F43A0" w:rsidRPr="00AB49BB" w:rsidRDefault="001F43A0" w:rsidP="0011458C">
      <w:pPr>
        <w:spacing w:after="120" w:line="240" w:lineRule="auto"/>
        <w:rPr>
          <w:lang w:val="pl-PL"/>
        </w:rPr>
      </w:pPr>
      <w:r w:rsidRPr="00AB49BB">
        <w:rPr>
          <w:b/>
          <w:lang w:val="pl-PL"/>
        </w:rPr>
        <w:t>social insurance</w:t>
      </w:r>
      <w:r w:rsidRPr="00AB49BB">
        <w:rPr>
          <w:lang w:val="pl-PL"/>
        </w:rPr>
        <w:t xml:space="preserve"> – ubezpieczenie społeczne</w:t>
      </w:r>
    </w:p>
    <w:p w:rsidR="001F43A0" w:rsidRPr="00722784" w:rsidRDefault="001F43A0" w:rsidP="0011458C">
      <w:pPr>
        <w:spacing w:after="120" w:line="240" w:lineRule="auto"/>
        <w:rPr>
          <w:lang w:val="pl-PL"/>
        </w:rPr>
      </w:pPr>
      <w:r w:rsidRPr="00722784">
        <w:rPr>
          <w:b/>
          <w:lang w:val="pl-PL"/>
        </w:rPr>
        <w:t>social security</w:t>
      </w:r>
      <w:r w:rsidRPr="00722784">
        <w:rPr>
          <w:lang w:val="pl-PL"/>
        </w:rPr>
        <w:t xml:space="preserve"> (w znaczeniu ogólnym) – zabezpieczenie społeczne</w:t>
      </w:r>
    </w:p>
    <w:p w:rsidR="00F47B18" w:rsidRPr="00F47B18" w:rsidRDefault="00F47B18" w:rsidP="0011458C">
      <w:pPr>
        <w:spacing w:after="120" w:line="240" w:lineRule="auto"/>
        <w:rPr>
          <w:lang w:val="pl-PL"/>
        </w:rPr>
      </w:pPr>
      <w:r>
        <w:rPr>
          <w:b/>
          <w:lang w:val="pl-PL"/>
        </w:rPr>
        <w:t xml:space="preserve">Strasbourg – </w:t>
      </w:r>
      <w:r>
        <w:rPr>
          <w:lang w:val="pl-PL"/>
        </w:rPr>
        <w:t>Strasb</w:t>
      </w:r>
      <w:r w:rsidRPr="00F47B18">
        <w:rPr>
          <w:b/>
          <w:lang w:val="pl-PL"/>
        </w:rPr>
        <w:t>u</w:t>
      </w:r>
      <w:r>
        <w:rPr>
          <w:lang w:val="pl-PL"/>
        </w:rPr>
        <w:t xml:space="preserve">rg </w:t>
      </w:r>
    </w:p>
    <w:p w:rsidR="001F43A0" w:rsidRPr="00AB49BB" w:rsidRDefault="001F43A0" w:rsidP="0011458C">
      <w:pPr>
        <w:spacing w:after="120" w:line="240" w:lineRule="auto"/>
        <w:rPr>
          <w:lang w:val="pl-PL"/>
        </w:rPr>
      </w:pPr>
      <w:r w:rsidRPr="00AB49BB">
        <w:rPr>
          <w:b/>
          <w:lang w:val="pl-PL"/>
        </w:rPr>
        <w:t>strike a fair balance between the demands of the general interest of the community and the requirements of the protection of the individual’s fundamental right</w:t>
      </w:r>
      <w:r w:rsidRPr="00AB49BB">
        <w:rPr>
          <w:lang w:val="pl-PL"/>
        </w:rPr>
        <w:t xml:space="preserve">s - zachować sprawiedliwą równowagę między potrzebami ogólnego interesu społeczeństwa a wymogami ochrony praw podstawowych jednostki </w:t>
      </w:r>
    </w:p>
    <w:p w:rsidR="001F43A0" w:rsidRPr="00AB49BB" w:rsidRDefault="00900877" w:rsidP="0011458C">
      <w:pPr>
        <w:spacing w:after="120" w:line="240" w:lineRule="auto"/>
        <w:rPr>
          <w:lang w:val="pl-PL"/>
        </w:rPr>
      </w:pPr>
      <w:r>
        <w:rPr>
          <w:b/>
          <w:lang w:val="pl-PL"/>
        </w:rPr>
        <w:t>s</w:t>
      </w:r>
      <w:r w:rsidR="001F43A0" w:rsidRPr="00D641F3">
        <w:rPr>
          <w:b/>
          <w:lang w:val="pl-PL"/>
        </w:rPr>
        <w:t>trike out an application out of its list of cases</w:t>
      </w:r>
      <w:r w:rsidR="001F43A0" w:rsidRPr="00AB49BB">
        <w:rPr>
          <w:lang w:val="pl-PL"/>
        </w:rPr>
        <w:t xml:space="preserve"> – skreślić skargę z listy spraw (jak w art. 37 Konwencji) – nie: “wykreślić” </w:t>
      </w:r>
    </w:p>
    <w:p w:rsidR="001F43A0" w:rsidRPr="00722784" w:rsidRDefault="001F43A0" w:rsidP="0011458C">
      <w:pPr>
        <w:spacing w:after="120" w:line="240" w:lineRule="auto"/>
        <w:outlineLvl w:val="0"/>
        <w:rPr>
          <w:lang w:val="pl-PL"/>
        </w:rPr>
      </w:pPr>
      <w:r w:rsidRPr="00722784">
        <w:rPr>
          <w:b/>
          <w:lang w:val="pl-PL"/>
        </w:rPr>
        <w:t>substantive aspect of Article 2</w:t>
      </w:r>
      <w:r w:rsidRPr="00722784">
        <w:rPr>
          <w:lang w:val="pl-PL"/>
        </w:rPr>
        <w:t xml:space="preserve"> – aspekt </w:t>
      </w:r>
      <w:r w:rsidRPr="007A1D91">
        <w:rPr>
          <w:lang w:val="pl-PL"/>
        </w:rPr>
        <w:t>materialny art. 2</w:t>
      </w:r>
      <w:r w:rsidRPr="00722784">
        <w:rPr>
          <w:b/>
          <w:lang w:val="pl-PL"/>
        </w:rPr>
        <w:t xml:space="preserve"> (</w:t>
      </w:r>
      <w:r w:rsidRPr="00722784">
        <w:rPr>
          <w:lang w:val="pl-PL"/>
        </w:rPr>
        <w:t>nie merytoryczny – z uwagi na utrwaloną praktykę tłumaczenia)</w:t>
      </w:r>
      <w:r w:rsidR="00186210">
        <w:rPr>
          <w:lang w:val="pl-PL"/>
        </w:rPr>
        <w:t>, odpowiednio też „procedural aspect” (proceduralny</w:t>
      </w:r>
      <w:r w:rsidR="00761A35">
        <w:rPr>
          <w:lang w:val="pl-PL"/>
        </w:rPr>
        <w:t xml:space="preserve"> aspekt</w:t>
      </w:r>
      <w:r w:rsidR="00186210">
        <w:rPr>
          <w:lang w:val="pl-PL"/>
        </w:rPr>
        <w:t>)</w:t>
      </w:r>
    </w:p>
    <w:p w:rsidR="001F43A0" w:rsidRPr="00722784" w:rsidRDefault="001F43A0" w:rsidP="0011458C">
      <w:pPr>
        <w:spacing w:after="120" w:line="240" w:lineRule="auto"/>
        <w:rPr>
          <w:lang w:val="pl-PL"/>
        </w:rPr>
      </w:pPr>
      <w:r w:rsidRPr="00722784">
        <w:rPr>
          <w:b/>
          <w:lang w:val="pl-PL"/>
        </w:rPr>
        <w:t>third-party intervention</w:t>
      </w:r>
      <w:r w:rsidRPr="00722784">
        <w:rPr>
          <w:lang w:val="pl-PL"/>
        </w:rPr>
        <w:t xml:space="preserve"> - interwencja strony trzeciej (nb. tłumaczenie Konwencji i Regulaminu nie posługują się sformułowaniem „interwenient uboczny”)</w:t>
      </w:r>
    </w:p>
    <w:p w:rsidR="001F43A0" w:rsidRPr="00AB49BB" w:rsidRDefault="001F43A0" w:rsidP="0011458C">
      <w:pPr>
        <w:spacing w:after="120" w:line="240" w:lineRule="auto"/>
        <w:rPr>
          <w:lang w:val="pl-PL"/>
        </w:rPr>
      </w:pPr>
      <w:r w:rsidRPr="00AB49BB">
        <w:rPr>
          <w:b/>
          <w:lang w:val="pl-PL"/>
        </w:rPr>
        <w:t>unilateral declaration</w:t>
      </w:r>
      <w:r w:rsidRPr="00AB49BB">
        <w:rPr>
          <w:lang w:val="pl-PL"/>
        </w:rPr>
        <w:t xml:space="preserve"> – deklaracja jednostronna</w:t>
      </w:r>
    </w:p>
    <w:p w:rsidR="00B86E45" w:rsidRDefault="00B86E45" w:rsidP="0011458C">
      <w:pPr>
        <w:spacing w:after="120" w:line="240" w:lineRule="auto"/>
        <w:rPr>
          <w:b/>
          <w:lang w:val="pl-PL"/>
        </w:rPr>
      </w:pPr>
      <w:r>
        <w:rPr>
          <w:b/>
          <w:lang w:val="pl-PL"/>
        </w:rPr>
        <w:t xml:space="preserve">value judgment </w:t>
      </w:r>
      <w:r w:rsidRPr="00B86E45">
        <w:rPr>
          <w:lang w:val="pl-PL"/>
        </w:rPr>
        <w:t>– sąd ocenny</w:t>
      </w:r>
    </w:p>
    <w:p w:rsidR="001F43A0" w:rsidRPr="00722784" w:rsidRDefault="001F43A0" w:rsidP="0011458C">
      <w:pPr>
        <w:spacing w:after="120" w:line="240" w:lineRule="auto"/>
        <w:rPr>
          <w:lang w:val="pl-PL"/>
        </w:rPr>
      </w:pPr>
      <w:r w:rsidRPr="00722784">
        <w:rPr>
          <w:b/>
          <w:lang w:val="pl-PL"/>
        </w:rPr>
        <w:t>victim</w:t>
      </w:r>
      <w:r w:rsidRPr="00722784">
        <w:rPr>
          <w:lang w:val="pl-PL"/>
        </w:rPr>
        <w:t xml:space="preserve"> – ofiara (gdy mowa o ocenie sytuacji skarżącego w świetle postanowień Konwencji, „victim status”</w:t>
      </w:r>
      <w:r>
        <w:rPr>
          <w:lang w:val="pl-PL"/>
        </w:rPr>
        <w:t xml:space="preserve"> </w:t>
      </w:r>
      <w:r w:rsidR="00155353">
        <w:rPr>
          <w:lang w:val="pl-PL"/>
        </w:rPr>
        <w:t>– „status ofiary”</w:t>
      </w:r>
      <w:r>
        <w:rPr>
          <w:lang w:val="pl-PL"/>
        </w:rPr>
        <w:t>– por. art. 34, nie: „pokrzywdzony”</w:t>
      </w:r>
      <w:r w:rsidR="00F85F7A">
        <w:rPr>
          <w:lang w:val="pl-PL"/>
        </w:rPr>
        <w:t>)</w:t>
      </w:r>
    </w:p>
    <w:p w:rsidR="001F43A0" w:rsidRPr="00722784" w:rsidRDefault="001F43A0" w:rsidP="0011458C">
      <w:pPr>
        <w:spacing w:after="120" w:line="240" w:lineRule="auto"/>
        <w:rPr>
          <w:lang w:val="pl-PL"/>
        </w:rPr>
      </w:pPr>
      <w:r w:rsidRPr="00722784">
        <w:rPr>
          <w:b/>
          <w:lang w:val="pl-PL"/>
        </w:rPr>
        <w:t>weigh the need to protect … against the need</w:t>
      </w:r>
      <w:r w:rsidRPr="00722784">
        <w:rPr>
          <w:lang w:val="pl-PL"/>
        </w:rPr>
        <w:t xml:space="preserve">  …. - dokonać wyważenia między koniecznością ochrony .. a koniecznością … - </w:t>
      </w:r>
    </w:p>
    <w:p w:rsidR="001F43A0" w:rsidRPr="00722784" w:rsidRDefault="001F43A0" w:rsidP="0011458C">
      <w:pPr>
        <w:spacing w:after="120" w:line="240" w:lineRule="auto"/>
        <w:rPr>
          <w:lang w:val="pl-PL"/>
        </w:rPr>
      </w:pPr>
      <w:r w:rsidRPr="00722784">
        <w:rPr>
          <w:b/>
          <w:lang w:val="pl-PL"/>
        </w:rPr>
        <w:t>welfare system</w:t>
      </w:r>
      <w:r w:rsidRPr="00722784">
        <w:rPr>
          <w:lang w:val="pl-PL"/>
        </w:rPr>
        <w:t xml:space="preserve"> (w znaczeniu ogólnym) – system ochrony socjalnej</w:t>
      </w:r>
    </w:p>
    <w:p w:rsidR="001F43A0" w:rsidRPr="00307DC7" w:rsidRDefault="001F43A0" w:rsidP="0011458C">
      <w:pPr>
        <w:spacing w:after="120" w:line="240" w:lineRule="auto"/>
        <w:rPr>
          <w:lang w:val="pl-PL"/>
        </w:rPr>
      </w:pPr>
      <w:r w:rsidRPr="00307DC7">
        <w:rPr>
          <w:b/>
          <w:lang w:val="pl-PL"/>
        </w:rPr>
        <w:t>well-established case-law</w:t>
      </w:r>
      <w:r w:rsidRPr="00307DC7">
        <w:rPr>
          <w:lang w:val="pl-PL"/>
        </w:rPr>
        <w:t xml:space="preserve"> – ugruntowane orzecznictwo </w:t>
      </w:r>
    </w:p>
    <w:p w:rsidR="00FF3AA5" w:rsidRDefault="00FF3AA5" w:rsidP="0011458C">
      <w:pPr>
        <w:spacing w:after="120" w:line="240" w:lineRule="auto"/>
        <w:rPr>
          <w:b/>
          <w:u w:val="single"/>
          <w:lang w:val="pl-PL"/>
        </w:rPr>
      </w:pPr>
    </w:p>
    <w:p w:rsidR="00167043" w:rsidRPr="00134773" w:rsidRDefault="0000012A" w:rsidP="0011458C">
      <w:pPr>
        <w:spacing w:after="120" w:line="240" w:lineRule="auto"/>
        <w:rPr>
          <w:b/>
          <w:u w:val="single"/>
          <w:lang w:val="pl-PL"/>
        </w:rPr>
      </w:pPr>
      <w:r w:rsidRPr="00134773">
        <w:rPr>
          <w:b/>
          <w:u w:val="single"/>
          <w:lang w:val="pl-PL"/>
        </w:rPr>
        <w:t>Stałe formułki</w:t>
      </w:r>
      <w:r w:rsidR="00134773" w:rsidRPr="00134773">
        <w:rPr>
          <w:b/>
          <w:u w:val="single"/>
          <w:lang w:val="pl-PL"/>
        </w:rPr>
        <w:t xml:space="preserve"> w wyrokach</w:t>
      </w:r>
      <w:r w:rsidRPr="00134773">
        <w:rPr>
          <w:b/>
          <w:u w:val="single"/>
          <w:lang w:val="pl-PL"/>
        </w:rPr>
        <w:t>:</w:t>
      </w:r>
    </w:p>
    <w:p w:rsidR="00D4640E" w:rsidRPr="00E162D3" w:rsidRDefault="00D4640E" w:rsidP="00177D15">
      <w:pPr>
        <w:pStyle w:val="Akapitzlist"/>
        <w:numPr>
          <w:ilvl w:val="0"/>
          <w:numId w:val="5"/>
        </w:numPr>
        <w:spacing w:after="0" w:line="240" w:lineRule="auto"/>
        <w:ind w:left="426" w:hanging="357"/>
        <w:contextualSpacing w:val="0"/>
        <w:rPr>
          <w:rFonts w:cs="Times New Roman"/>
          <w:lang w:val="en-US"/>
        </w:rPr>
      </w:pPr>
      <w:r w:rsidRPr="00E162D3">
        <w:rPr>
          <w:rFonts w:cs="Times New Roman"/>
          <w:lang w:val="en-US"/>
        </w:rPr>
        <w:t>The European Court of Human Rights (Fourth Section), sitting as a Chamber/a Grand Chamber composed of:</w:t>
      </w:r>
    </w:p>
    <w:p w:rsidR="00D4640E" w:rsidRPr="00E162D3" w:rsidRDefault="00D4640E" w:rsidP="00177D15">
      <w:pPr>
        <w:pStyle w:val="Akapitzlist"/>
        <w:spacing w:after="0" w:line="240" w:lineRule="auto"/>
        <w:ind w:left="426"/>
        <w:contextualSpacing w:val="0"/>
        <w:rPr>
          <w:rFonts w:cs="Times New Roman"/>
          <w:lang w:val="en-US"/>
        </w:rPr>
      </w:pPr>
      <w:r w:rsidRPr="00E162D3">
        <w:rPr>
          <w:rFonts w:cs="Times New Roman"/>
          <w:lang w:val="en-US"/>
        </w:rPr>
        <w:t>n, President,</w:t>
      </w:r>
      <w:r w:rsidRPr="00E162D3">
        <w:rPr>
          <w:rFonts w:cs="Times New Roman"/>
          <w:lang w:val="en-US"/>
        </w:rPr>
        <w:br/>
        <w:t>nn, judges,</w:t>
      </w:r>
      <w:r w:rsidRPr="00E162D3">
        <w:rPr>
          <w:rFonts w:cs="Times New Roman"/>
          <w:lang w:val="en-US"/>
        </w:rPr>
        <w:br/>
        <w:t xml:space="preserve">and n, </w:t>
      </w:r>
      <w:r w:rsidR="00177D15" w:rsidRPr="00E162D3">
        <w:rPr>
          <w:rFonts w:cs="Times New Roman"/>
          <w:lang w:val="en-US"/>
        </w:rPr>
        <w:t>(</w:t>
      </w:r>
      <w:r w:rsidRPr="00E162D3">
        <w:rPr>
          <w:rFonts w:cs="Times New Roman"/>
          <w:lang w:val="en-US"/>
        </w:rPr>
        <w:t>Section</w:t>
      </w:r>
      <w:r w:rsidR="00177D15" w:rsidRPr="00E162D3">
        <w:rPr>
          <w:rFonts w:cs="Times New Roman"/>
          <w:lang w:val="en-US"/>
        </w:rPr>
        <w:t>)</w:t>
      </w:r>
      <w:r w:rsidRPr="00E162D3">
        <w:rPr>
          <w:rFonts w:cs="Times New Roman"/>
          <w:lang w:val="en-US"/>
        </w:rPr>
        <w:t xml:space="preserve"> Registrar</w:t>
      </w:r>
    </w:p>
    <w:p w:rsidR="00D4640E" w:rsidRPr="00E162D3" w:rsidRDefault="00D4640E" w:rsidP="00177D15">
      <w:pPr>
        <w:pStyle w:val="Akapitzlist"/>
        <w:spacing w:after="0" w:line="240" w:lineRule="auto"/>
        <w:ind w:left="426"/>
        <w:contextualSpacing w:val="0"/>
        <w:rPr>
          <w:rFonts w:cs="Times New Roman"/>
          <w:lang w:val="en-US"/>
        </w:rPr>
      </w:pPr>
      <w:r w:rsidRPr="00E162D3">
        <w:rPr>
          <w:rFonts w:cs="Times New Roman"/>
          <w:lang w:val="en-US"/>
        </w:rPr>
        <w:t>Having deliberated in private on ,</w:t>
      </w:r>
    </w:p>
    <w:p w:rsidR="00D4640E" w:rsidRPr="00E162D3" w:rsidRDefault="00D4640E" w:rsidP="00177D15">
      <w:pPr>
        <w:pStyle w:val="Akapitzlist"/>
        <w:spacing w:after="0" w:line="240" w:lineRule="auto"/>
        <w:ind w:left="426"/>
        <w:contextualSpacing w:val="0"/>
        <w:rPr>
          <w:rFonts w:cs="Times New Roman"/>
          <w:lang w:val="en-US"/>
        </w:rPr>
      </w:pPr>
      <w:r w:rsidRPr="00E162D3">
        <w:rPr>
          <w:rFonts w:cs="Times New Roman"/>
          <w:lang w:val="en-US"/>
        </w:rPr>
        <w:t>Delivers the following judgment, which was adopted on that date</w:t>
      </w:r>
      <w:r w:rsidR="00C820A8" w:rsidRPr="00E162D3">
        <w:rPr>
          <w:rFonts w:cs="Times New Roman"/>
          <w:lang w:val="en-US"/>
        </w:rPr>
        <w:t>:</w:t>
      </w:r>
    </w:p>
    <w:p w:rsidR="00D4640E" w:rsidRPr="00E162D3" w:rsidRDefault="00D4640E" w:rsidP="00177D15">
      <w:pPr>
        <w:pStyle w:val="Akapitzlist"/>
        <w:spacing w:after="0" w:line="240" w:lineRule="auto"/>
        <w:ind w:left="426"/>
        <w:contextualSpacing w:val="0"/>
        <w:rPr>
          <w:rFonts w:cs="Times New Roman"/>
          <w:lang w:val="en-US"/>
        </w:rPr>
      </w:pPr>
    </w:p>
    <w:p w:rsidR="00900877" w:rsidRPr="00BB5F64" w:rsidRDefault="00900877" w:rsidP="00D4640E">
      <w:pPr>
        <w:pStyle w:val="Akapitzlist"/>
        <w:spacing w:after="0" w:line="240" w:lineRule="auto"/>
        <w:ind w:left="426"/>
        <w:contextualSpacing w:val="0"/>
      </w:pPr>
      <w:r w:rsidRPr="00BB5F64">
        <w:rPr>
          <w:rFonts w:cs="Times New Roman"/>
        </w:rPr>
        <w:lastRenderedPageBreak/>
        <w:t>Europejski Trybunał Praw Człowieka (czwarta sekcja), zasiadając jako Izba/Wielka Izba w składzie</w:t>
      </w:r>
      <w:r w:rsidRPr="00BB5F64">
        <w:t xml:space="preserve">: </w:t>
      </w:r>
    </w:p>
    <w:p w:rsidR="00900877" w:rsidRPr="00BB5F64" w:rsidRDefault="00900877" w:rsidP="00BB5F64">
      <w:pPr>
        <w:pStyle w:val="ECHRDecisionBody"/>
        <w:ind w:left="69"/>
        <w:rPr>
          <w:rFonts w:asciiTheme="minorHAnsi" w:hAnsiTheme="minorHAnsi"/>
          <w:sz w:val="22"/>
          <w:lang w:val="pl-PL"/>
        </w:rPr>
      </w:pPr>
      <w:r w:rsidRPr="00BB5F64">
        <w:rPr>
          <w:rFonts w:asciiTheme="minorHAnsi" w:hAnsiTheme="minorHAnsi"/>
          <w:sz w:val="22"/>
          <w:lang w:val="pl-PL"/>
        </w:rPr>
        <w:tab/>
        <w:t>n,</w:t>
      </w:r>
      <w:r w:rsidRPr="00BB5F64">
        <w:rPr>
          <w:rFonts w:asciiTheme="minorHAnsi" w:hAnsiTheme="minorHAnsi"/>
          <w:i/>
          <w:sz w:val="22"/>
          <w:lang w:val="pl-PL"/>
        </w:rPr>
        <w:t xml:space="preserve"> Przewodniczący,</w:t>
      </w:r>
      <w:r w:rsidRPr="00BB5F64">
        <w:rPr>
          <w:rFonts w:asciiTheme="minorHAnsi" w:hAnsiTheme="minorHAnsi"/>
          <w:i/>
          <w:sz w:val="22"/>
          <w:lang w:val="pl-PL"/>
        </w:rPr>
        <w:br/>
      </w:r>
      <w:r w:rsidRPr="00BB5F64">
        <w:rPr>
          <w:rFonts w:asciiTheme="minorHAnsi" w:hAnsiTheme="minorHAnsi"/>
          <w:sz w:val="22"/>
          <w:lang w:val="pl-PL"/>
        </w:rPr>
        <w:tab/>
        <w:t xml:space="preserve">nn, </w:t>
      </w:r>
      <w:r w:rsidRPr="00BB5F64">
        <w:rPr>
          <w:rFonts w:asciiTheme="minorHAnsi" w:hAnsiTheme="minorHAnsi"/>
          <w:i/>
          <w:sz w:val="22"/>
          <w:lang w:val="pl-PL"/>
        </w:rPr>
        <w:t>Sędziowie</w:t>
      </w:r>
      <w:r w:rsidRPr="00BB5F64">
        <w:rPr>
          <w:rFonts w:asciiTheme="minorHAnsi" w:hAnsiTheme="minorHAnsi"/>
          <w:sz w:val="22"/>
          <w:lang w:val="pl-PL"/>
        </w:rPr>
        <w:t>,</w:t>
      </w:r>
      <w:r w:rsidRPr="00BB5F64">
        <w:rPr>
          <w:rFonts w:asciiTheme="minorHAnsi" w:hAnsiTheme="minorHAnsi"/>
          <w:i/>
          <w:sz w:val="22"/>
          <w:lang w:val="pl-PL"/>
        </w:rPr>
        <w:br/>
      </w:r>
      <w:r w:rsidRPr="00BB5F64">
        <w:rPr>
          <w:rFonts w:asciiTheme="minorHAnsi" w:hAnsiTheme="minorHAnsi"/>
          <w:sz w:val="22"/>
          <w:lang w:val="pl-PL"/>
        </w:rPr>
        <w:t xml:space="preserve">oraz n, </w:t>
      </w:r>
      <w:r w:rsidRPr="00BB5F64">
        <w:rPr>
          <w:rFonts w:asciiTheme="minorHAnsi" w:hAnsiTheme="minorHAnsi"/>
          <w:i/>
          <w:sz w:val="22"/>
          <w:lang w:val="pl-PL"/>
        </w:rPr>
        <w:t>Kanclerz (Sekcji),</w:t>
      </w:r>
    </w:p>
    <w:p w:rsidR="00900877" w:rsidRPr="00BB5F64" w:rsidRDefault="00900877" w:rsidP="00900877">
      <w:pPr>
        <w:pStyle w:val="JuPara"/>
        <w:rPr>
          <w:rFonts w:asciiTheme="minorHAnsi" w:hAnsiTheme="minorHAnsi"/>
          <w:sz w:val="22"/>
          <w:szCs w:val="22"/>
          <w:lang w:val="pl-PL"/>
        </w:rPr>
      </w:pPr>
      <w:r w:rsidRPr="00BB5F64">
        <w:rPr>
          <w:rFonts w:asciiTheme="minorHAnsi" w:hAnsiTheme="minorHAnsi"/>
          <w:sz w:val="22"/>
          <w:szCs w:val="22"/>
          <w:lang w:val="pl-PL"/>
        </w:rPr>
        <w:t>obradując na posiedzeniu niejawnym w dniu n,</w:t>
      </w:r>
    </w:p>
    <w:p w:rsidR="00900877" w:rsidRDefault="00900877" w:rsidP="00BB5F64">
      <w:pPr>
        <w:pStyle w:val="JuPara"/>
        <w:spacing w:after="120"/>
        <w:rPr>
          <w:rFonts w:asciiTheme="minorHAnsi" w:hAnsiTheme="minorHAnsi"/>
          <w:sz w:val="22"/>
          <w:szCs w:val="22"/>
          <w:lang w:val="pl-PL"/>
        </w:rPr>
      </w:pPr>
      <w:r w:rsidRPr="00BB5F64">
        <w:rPr>
          <w:rFonts w:asciiTheme="minorHAnsi" w:hAnsiTheme="minorHAnsi"/>
          <w:sz w:val="22"/>
          <w:szCs w:val="22"/>
          <w:lang w:val="pl-PL"/>
        </w:rPr>
        <w:t>wydaje następujący wyrok, który został przyjęty w tym dniu:</w:t>
      </w:r>
    </w:p>
    <w:p w:rsidR="00FF3AA5" w:rsidRPr="00BB5F64" w:rsidRDefault="00FF3AA5" w:rsidP="00BB5F64">
      <w:pPr>
        <w:pStyle w:val="JuPara"/>
        <w:spacing w:after="120"/>
        <w:rPr>
          <w:rFonts w:asciiTheme="minorHAnsi" w:hAnsiTheme="minorHAnsi"/>
          <w:sz w:val="22"/>
          <w:szCs w:val="22"/>
          <w:lang w:val="pl-PL"/>
        </w:rPr>
      </w:pPr>
    </w:p>
    <w:p w:rsidR="00C820A8" w:rsidRPr="00177D15" w:rsidRDefault="00CD1A7C" w:rsidP="00C820A8">
      <w:pPr>
        <w:pStyle w:val="Akapitzlist"/>
        <w:numPr>
          <w:ilvl w:val="0"/>
          <w:numId w:val="5"/>
        </w:numPr>
        <w:spacing w:after="120" w:line="240" w:lineRule="auto"/>
        <w:ind w:left="426" w:hanging="357"/>
        <w:contextualSpacing w:val="0"/>
        <w:rPr>
          <w:b/>
          <w:szCs w:val="24"/>
          <w:lang w:val="en-US"/>
        </w:rPr>
      </w:pPr>
      <w:r w:rsidRPr="00CD1A7C">
        <w:rPr>
          <w:szCs w:val="24"/>
          <w:lang w:val="en-US"/>
        </w:rPr>
        <w:t>Convention is called to guarantee rights that are practical and effective, not theoretical and illusory</w:t>
      </w:r>
      <w:r w:rsidR="00C820A8" w:rsidRPr="00177D15">
        <w:rPr>
          <w:szCs w:val="24"/>
          <w:lang w:val="en-US"/>
        </w:rPr>
        <w:t>.</w:t>
      </w:r>
      <w:r w:rsidR="00C820A8" w:rsidRPr="00177D15">
        <w:rPr>
          <w:b/>
          <w:szCs w:val="24"/>
          <w:lang w:val="en-US"/>
        </w:rPr>
        <w:t xml:space="preserve"> </w:t>
      </w:r>
    </w:p>
    <w:p w:rsidR="00D641F3" w:rsidRPr="00D641F3" w:rsidRDefault="00177D15" w:rsidP="00C820A8">
      <w:pPr>
        <w:pStyle w:val="Akapitzlist"/>
        <w:spacing w:after="120" w:line="240" w:lineRule="auto"/>
        <w:ind w:left="426"/>
        <w:contextualSpacing w:val="0"/>
        <w:rPr>
          <w:bCs/>
          <w:iCs/>
          <w:color w:val="000000"/>
        </w:rPr>
      </w:pPr>
      <w:r>
        <w:rPr>
          <w:bCs/>
          <w:iCs/>
          <w:color w:val="000000"/>
        </w:rPr>
        <w:t xml:space="preserve">Konwencja gwarantuje prawa, które są </w:t>
      </w:r>
      <w:r w:rsidR="00D641F3" w:rsidRPr="00D641F3">
        <w:rPr>
          <w:b/>
          <w:bCs/>
          <w:iCs/>
          <w:color w:val="000000"/>
        </w:rPr>
        <w:t>praktyczne i skuteczne, a nie teoretyczne i iluzoryczne</w:t>
      </w:r>
    </w:p>
    <w:p w:rsidR="000001E6" w:rsidRPr="00402EBB" w:rsidRDefault="00AB49BB" w:rsidP="0011458C">
      <w:pPr>
        <w:pStyle w:val="Akapitzlist"/>
        <w:numPr>
          <w:ilvl w:val="0"/>
          <w:numId w:val="5"/>
        </w:numPr>
        <w:spacing w:after="120" w:line="240" w:lineRule="auto"/>
        <w:ind w:left="426" w:hanging="357"/>
        <w:contextualSpacing w:val="0"/>
        <w:rPr>
          <w:lang w:val="en-US" w:eastAsia="en-GB"/>
        </w:rPr>
      </w:pPr>
      <w:r w:rsidRPr="0010668A">
        <w:rPr>
          <w:lang w:val="en-US" w:eastAsia="en-GB"/>
        </w:rPr>
        <w:t xml:space="preserve">The Court considers that the question …  is </w:t>
      </w:r>
      <w:r w:rsidRPr="0010668A">
        <w:rPr>
          <w:b/>
          <w:lang w:val="en-US" w:eastAsia="en-GB"/>
        </w:rPr>
        <w:t>closely linked to the merits</w:t>
      </w:r>
      <w:r w:rsidRPr="0010668A">
        <w:rPr>
          <w:lang w:val="en-US" w:eastAsia="en-GB"/>
        </w:rPr>
        <w:t xml:space="preserve"> of the applicants’ complaints. </w:t>
      </w:r>
      <w:r w:rsidRPr="00402EBB">
        <w:rPr>
          <w:lang w:val="en-US" w:eastAsia="en-GB"/>
        </w:rPr>
        <w:t xml:space="preserve">It therefore </w:t>
      </w:r>
      <w:r w:rsidRPr="00402EBB">
        <w:rPr>
          <w:b/>
          <w:lang w:val="en-US" w:eastAsia="en-GB"/>
        </w:rPr>
        <w:t xml:space="preserve">joins this preliminary issue </w:t>
      </w:r>
      <w:r w:rsidR="00D641F3" w:rsidRPr="00402EBB">
        <w:rPr>
          <w:b/>
          <w:lang w:val="en-US" w:eastAsia="en-GB"/>
        </w:rPr>
        <w:t xml:space="preserve">(objection) </w:t>
      </w:r>
      <w:r w:rsidRPr="00402EBB">
        <w:rPr>
          <w:b/>
          <w:lang w:val="en-US" w:eastAsia="en-GB"/>
        </w:rPr>
        <w:t>to the merits</w:t>
      </w:r>
      <w:r w:rsidRPr="00402EBB">
        <w:rPr>
          <w:lang w:val="en-US" w:eastAsia="en-GB"/>
        </w:rPr>
        <w:t xml:space="preserve">. </w:t>
      </w:r>
    </w:p>
    <w:p w:rsidR="00AB49BB" w:rsidRPr="00D641F3" w:rsidRDefault="00AB49BB" w:rsidP="000001E6">
      <w:pPr>
        <w:pStyle w:val="Akapitzlist"/>
        <w:spacing w:after="120" w:line="240" w:lineRule="auto"/>
        <w:ind w:left="426"/>
        <w:contextualSpacing w:val="0"/>
        <w:rPr>
          <w:lang w:eastAsia="en-GB"/>
        </w:rPr>
      </w:pPr>
      <w:r w:rsidRPr="00D641F3">
        <w:rPr>
          <w:iCs/>
        </w:rPr>
        <w:t xml:space="preserve">Trybunał uważa, że kwestia …. jest ściśle powiązana z przedmiotem skargi. Trybunał rozpatrzy zatem tę kwestią wstępną </w:t>
      </w:r>
      <w:r w:rsidR="00D641F3" w:rsidRPr="00D641F3">
        <w:rPr>
          <w:iCs/>
        </w:rPr>
        <w:t>(za</w:t>
      </w:r>
      <w:r w:rsidR="00F85F7A">
        <w:rPr>
          <w:iCs/>
        </w:rPr>
        <w:t>strzeżenie</w:t>
      </w:r>
      <w:r w:rsidR="00D641F3" w:rsidRPr="00D641F3">
        <w:rPr>
          <w:iCs/>
        </w:rPr>
        <w:t xml:space="preserve">/sprzeciw) </w:t>
      </w:r>
      <w:r w:rsidRPr="00D641F3">
        <w:rPr>
          <w:iCs/>
        </w:rPr>
        <w:t>łącznie z przedmiotem</w:t>
      </w:r>
      <w:r w:rsidR="000001E6">
        <w:rPr>
          <w:iCs/>
        </w:rPr>
        <w:t xml:space="preserve"> skargi</w:t>
      </w:r>
      <w:r w:rsidRPr="00D641F3">
        <w:rPr>
          <w:iCs/>
        </w:rPr>
        <w:t>.</w:t>
      </w:r>
      <w:r w:rsidR="00D641F3" w:rsidRPr="00D641F3">
        <w:rPr>
          <w:iCs/>
        </w:rPr>
        <w:t xml:space="preserve"> </w:t>
      </w:r>
    </w:p>
    <w:p w:rsidR="000001E6" w:rsidRPr="000001E6" w:rsidRDefault="00BF2519" w:rsidP="0011458C">
      <w:pPr>
        <w:pStyle w:val="Akapitzlist"/>
        <w:numPr>
          <w:ilvl w:val="0"/>
          <w:numId w:val="5"/>
        </w:numPr>
        <w:spacing w:after="120" w:line="240" w:lineRule="auto"/>
        <w:ind w:left="426" w:hanging="357"/>
        <w:contextualSpacing w:val="0"/>
        <w:rPr>
          <w:rStyle w:val="sb8d990e2"/>
          <w:lang w:val="en-US"/>
        </w:rPr>
      </w:pPr>
      <w:r w:rsidRPr="0010668A">
        <w:rPr>
          <w:rStyle w:val="sb8d990e2"/>
          <w:lang w:val="en-US"/>
        </w:rPr>
        <w:t xml:space="preserve">Article 1 of Protocol No. 1 does not include a right to acquire property. It places no restriction on the Contracting States’ freedom to decide whether or not to have in place any form of social security scheme, or to choose the type or amount of benefits to provide under any such scheme. If, however, a State does decide to create a benefits or pension scheme, it must do so in a manner which is compatible with Article 14 of the Convention </w:t>
      </w:r>
      <w:r w:rsidR="000001E6">
        <w:rPr>
          <w:rStyle w:val="sb8d990e2"/>
          <w:lang w:val="en-US"/>
        </w:rPr>
        <w:t xml:space="preserve"> </w:t>
      </w:r>
      <w:r w:rsidRPr="0010668A">
        <w:rPr>
          <w:rStyle w:val="sb8d990e2"/>
          <w:lang w:val="en-US"/>
        </w:rPr>
        <w:t xml:space="preserve"> </w:t>
      </w:r>
    </w:p>
    <w:p w:rsidR="00BF2519" w:rsidRPr="00D641F3" w:rsidRDefault="000001E6" w:rsidP="000001E6">
      <w:pPr>
        <w:pStyle w:val="Akapitzlist"/>
        <w:spacing w:after="120" w:line="240" w:lineRule="auto"/>
        <w:ind w:left="426"/>
        <w:contextualSpacing w:val="0"/>
        <w:rPr>
          <w:rStyle w:val="sb8d990e2"/>
        </w:rPr>
      </w:pPr>
      <w:r w:rsidRPr="000001E6">
        <w:rPr>
          <w:rStyle w:val="sb8d990e2"/>
        </w:rPr>
        <w:t>A</w:t>
      </w:r>
      <w:r w:rsidR="00BF2519" w:rsidRPr="000001E6">
        <w:rPr>
          <w:rStyle w:val="sb8d990e2"/>
          <w:color w:val="000000"/>
        </w:rPr>
        <w:t xml:space="preserve">rt. </w:t>
      </w:r>
      <w:r w:rsidR="00BF2519" w:rsidRPr="000001E6">
        <w:rPr>
          <w:rStyle w:val="sb8d990e2"/>
        </w:rPr>
        <w:t xml:space="preserve">1 Protokołu nr 1 nie obejmuje prawa do nabycia własności. </w:t>
      </w:r>
      <w:r w:rsidR="00BF2519" w:rsidRPr="00D641F3">
        <w:rPr>
          <w:rStyle w:val="sb8d990e2"/>
        </w:rPr>
        <w:t xml:space="preserve">Nie nakłada on jakichkolwiek ograniczeń na swobodę Układających się Państw co do decyzji, czy ustanowić jakąkolwiek formę systemu zabezpieczenia społecznego, </w:t>
      </w:r>
      <w:r w:rsidR="00F85F7A">
        <w:rPr>
          <w:rStyle w:val="sb8d990e2"/>
        </w:rPr>
        <w:t>lub</w:t>
      </w:r>
      <w:r w:rsidR="00BF2519" w:rsidRPr="00D641F3">
        <w:rPr>
          <w:rStyle w:val="sb8d990e2"/>
        </w:rPr>
        <w:t xml:space="preserve"> co do wyboru rodzaju lub kwoty świadczeń przyznawanych w ramach takiego systemu. Jeżeli jednak Państwo zdecyduje się ustanowić system świadczeń społecznych lub emerytalnych, musi zrobić to w sposób zgodny z art. 14 Konwencji</w:t>
      </w:r>
    </w:p>
    <w:p w:rsidR="000001E6" w:rsidRPr="000001E6" w:rsidRDefault="000001E6" w:rsidP="0011458C">
      <w:pPr>
        <w:pStyle w:val="Akapitzlist"/>
        <w:numPr>
          <w:ilvl w:val="0"/>
          <w:numId w:val="5"/>
        </w:numPr>
        <w:spacing w:after="120" w:line="240" w:lineRule="auto"/>
        <w:ind w:left="426" w:hanging="357"/>
        <w:contextualSpacing w:val="0"/>
        <w:rPr>
          <w:rStyle w:val="sb8d990e2"/>
          <w:lang w:val="en-US"/>
        </w:rPr>
      </w:pPr>
      <w:r>
        <w:rPr>
          <w:rStyle w:val="sb8d990e2"/>
          <w:lang w:val="en-US"/>
        </w:rPr>
        <w:t xml:space="preserve">… </w:t>
      </w:r>
      <w:r w:rsidR="00BF2519" w:rsidRPr="000001E6">
        <w:rPr>
          <w:rStyle w:val="sb8d990e2"/>
          <w:lang w:val="en-US"/>
        </w:rPr>
        <w:t xml:space="preserve">although there was no obligation on a State under Article 1 of Protocol No. 1 to create a welfare or pension scheme, if a State did decide to enact legislation providing for the payment of a welfare benefit or pension as of right ‒ whether conditional or not on previous contributions ‒ that legislation had to be regarded as generating a proprietary interest falling within the ambit of Article 1 of Protocol No. 1 for persons satisfying its requirements </w:t>
      </w:r>
      <w:r>
        <w:rPr>
          <w:rStyle w:val="sb8d990e2"/>
          <w:lang w:val="en-US"/>
        </w:rPr>
        <w:t xml:space="preserve"> </w:t>
      </w:r>
    </w:p>
    <w:p w:rsidR="00BF2519" w:rsidRPr="00D641F3" w:rsidRDefault="000001E6" w:rsidP="000001E6">
      <w:pPr>
        <w:pStyle w:val="Akapitzlist"/>
        <w:spacing w:after="120" w:line="240" w:lineRule="auto"/>
        <w:ind w:left="426"/>
        <w:contextualSpacing w:val="0"/>
        <w:rPr>
          <w:rStyle w:val="sb8d990e2"/>
        </w:rPr>
      </w:pPr>
      <w:r>
        <w:rPr>
          <w:rStyle w:val="sb8d990e2"/>
        </w:rPr>
        <w:t>…</w:t>
      </w:r>
      <w:r w:rsidR="00BF2519" w:rsidRPr="000001E6">
        <w:rPr>
          <w:rStyle w:val="sb8d990e2"/>
        </w:rPr>
        <w:t xml:space="preserve"> </w:t>
      </w:r>
      <w:r w:rsidR="00155353">
        <w:rPr>
          <w:rStyle w:val="sb8d990e2"/>
        </w:rPr>
        <w:t>chociaż</w:t>
      </w:r>
      <w:r w:rsidR="00BF2519" w:rsidRPr="00D641F3">
        <w:rPr>
          <w:rStyle w:val="sb8d990e2"/>
        </w:rPr>
        <w:t xml:space="preserve"> art. 1 Protokołu nr 1 nie nakłada na Państwa obowiązku utworzenia systemu świadczeń społecznych lub emerytalnych, jeżeli Państwo przyjęło ustawodawstwo</w:t>
      </w:r>
      <w:r w:rsidR="00F85F7A">
        <w:rPr>
          <w:rStyle w:val="sb8d990e2"/>
        </w:rPr>
        <w:t xml:space="preserve"> przewidujące</w:t>
      </w:r>
      <w:r w:rsidR="00BF2519" w:rsidRPr="00D641F3">
        <w:rPr>
          <w:rStyle w:val="sb8d990e2"/>
        </w:rPr>
        <w:t xml:space="preserve"> wypłatę świadczeń społecznych lub emerytalnych z mocy prawa – niezależnie od tego, czy wypłata ta jest zależna, czy nie, od uprzedniego uiszczania składek – ustawodawstwo to musi być uznane za tworzące interes majątkowy wchodzący w zakres zastosowania art. 1 Protokołu nr 1 dla osób spełniających wymogi przedmiotowego ustawodawstwa</w:t>
      </w:r>
    </w:p>
    <w:p w:rsidR="00155353" w:rsidRPr="00155353" w:rsidRDefault="00BF2519" w:rsidP="0011458C">
      <w:pPr>
        <w:pStyle w:val="Akapitzlist"/>
        <w:numPr>
          <w:ilvl w:val="0"/>
          <w:numId w:val="5"/>
        </w:numPr>
        <w:spacing w:after="120" w:line="240" w:lineRule="auto"/>
        <w:ind w:left="426" w:hanging="357"/>
        <w:contextualSpacing w:val="0"/>
        <w:rPr>
          <w:rStyle w:val="sb8d990e2"/>
          <w:lang w:val="en-US"/>
        </w:rPr>
      </w:pPr>
      <w:r w:rsidRPr="00155353">
        <w:rPr>
          <w:rStyle w:val="sb8d990e2"/>
          <w:lang w:val="en-US"/>
        </w:rPr>
        <w:t xml:space="preserve">generating a proprietary interest falling within the ambit of Article 1 </w:t>
      </w:r>
      <w:r w:rsidR="00155353" w:rsidRPr="00155353">
        <w:rPr>
          <w:rStyle w:val="sb8d990e2"/>
          <w:lang w:val="en-US"/>
        </w:rPr>
        <w:t>–</w:t>
      </w:r>
    </w:p>
    <w:p w:rsidR="00BF2519" w:rsidRPr="00D641F3" w:rsidRDefault="00BF2519" w:rsidP="00155353">
      <w:pPr>
        <w:pStyle w:val="Akapitzlist"/>
        <w:spacing w:after="120" w:line="240" w:lineRule="auto"/>
        <w:ind w:left="426"/>
        <w:contextualSpacing w:val="0"/>
        <w:rPr>
          <w:rStyle w:val="sb8d990e2"/>
        </w:rPr>
      </w:pPr>
      <w:r w:rsidRPr="00D641F3">
        <w:rPr>
          <w:rStyle w:val="sb8d990e2"/>
        </w:rPr>
        <w:t>tworzące interes majątkowy wchodzący w zakres zastosowania art. 1</w:t>
      </w:r>
      <w:r w:rsidR="00155353">
        <w:rPr>
          <w:rStyle w:val="sb8d990e2"/>
        </w:rPr>
        <w:t xml:space="preserve"> </w:t>
      </w:r>
    </w:p>
    <w:p w:rsidR="000001E6" w:rsidRPr="000001E6" w:rsidRDefault="00BF2519" w:rsidP="0011458C">
      <w:pPr>
        <w:pStyle w:val="Akapitzlist"/>
        <w:numPr>
          <w:ilvl w:val="0"/>
          <w:numId w:val="5"/>
        </w:numPr>
        <w:spacing w:after="120" w:line="240" w:lineRule="auto"/>
        <w:ind w:left="426" w:hanging="357"/>
        <w:contextualSpacing w:val="0"/>
        <w:rPr>
          <w:lang w:val="en-US"/>
        </w:rPr>
      </w:pPr>
      <w:r w:rsidRPr="000001E6">
        <w:rPr>
          <w:lang w:val="en-US"/>
        </w:rPr>
        <w:t xml:space="preserve">Article 1 of Protocol No. 1, the essential object of which is to protect the individual against unjustified interference by the State with the peaceful enjoyment of his or her possessions, may also entail positive obligations requiring the State to take certain measures necessary to protect the right of property, particularly where there is a direct link between the measures an applicant may legitimately expect from the authorities and his effective enjoyment of his possessions </w:t>
      </w:r>
      <w:r w:rsidR="000001E6" w:rsidRPr="000001E6">
        <w:rPr>
          <w:lang w:val="en-US"/>
        </w:rPr>
        <w:t>–</w:t>
      </w:r>
      <w:r w:rsidRPr="000001E6">
        <w:rPr>
          <w:lang w:val="en-US"/>
        </w:rPr>
        <w:t xml:space="preserve"> </w:t>
      </w:r>
    </w:p>
    <w:p w:rsidR="00BF2519" w:rsidRPr="00D641F3" w:rsidRDefault="000001E6" w:rsidP="000001E6">
      <w:pPr>
        <w:pStyle w:val="Akapitzlist"/>
        <w:spacing w:after="120" w:line="240" w:lineRule="auto"/>
        <w:ind w:left="426"/>
        <w:contextualSpacing w:val="0"/>
      </w:pPr>
      <w:r>
        <w:t>A</w:t>
      </w:r>
      <w:r w:rsidR="00BF2519" w:rsidRPr="00D641F3">
        <w:t xml:space="preserve">rt. 1 Protokołu nr 1, którego zasadniczym celem jest zapewnienie ochrony jednostki przed nieuzasadnioną ingerencją ze strony Państwa w prawo do poszanowania mienia, może także </w:t>
      </w:r>
      <w:r w:rsidR="00BF2519" w:rsidRPr="00D641F3">
        <w:lastRenderedPageBreak/>
        <w:t xml:space="preserve">obejmować pozytywne obowiązki </w:t>
      </w:r>
      <w:r w:rsidR="00F85F7A">
        <w:t xml:space="preserve">wymagające od </w:t>
      </w:r>
      <w:r w:rsidR="00BF2519" w:rsidRPr="00D641F3">
        <w:t>Państwa podjęcia pewnych środków niezbędnych dla ochrony prawa własności, zwłaszcza w przypadku, gdy istnieje bezpośredni związek między środkami, których skarżący ma prawo oczekiwać ze strony władz, a skutecznym poszanowaniem swojego mienia</w:t>
      </w:r>
    </w:p>
    <w:p w:rsidR="00155353" w:rsidRPr="00E162D3" w:rsidRDefault="00AB49BB" w:rsidP="0011458C">
      <w:pPr>
        <w:pStyle w:val="JuPara"/>
        <w:numPr>
          <w:ilvl w:val="0"/>
          <w:numId w:val="5"/>
        </w:numPr>
        <w:spacing w:after="120"/>
        <w:ind w:left="426" w:hanging="357"/>
        <w:rPr>
          <w:rFonts w:asciiTheme="minorHAnsi" w:hAnsiTheme="minorHAnsi"/>
          <w:sz w:val="22"/>
          <w:szCs w:val="22"/>
          <w:lang w:val="en-US"/>
        </w:rPr>
      </w:pPr>
      <w:r w:rsidRPr="00E162D3">
        <w:rPr>
          <w:rFonts w:asciiTheme="minorHAnsi" w:hAnsiTheme="minorHAnsi"/>
          <w:sz w:val="22"/>
          <w:szCs w:val="22"/>
          <w:lang w:val="en-US"/>
        </w:rPr>
        <w:t xml:space="preserve">in the light of all the material in its possession, and in so far as the matters complained of are within its competence, the Court finds that they </w:t>
      </w:r>
      <w:r w:rsidRPr="00E162D3">
        <w:rPr>
          <w:rFonts w:asciiTheme="minorHAnsi" w:hAnsiTheme="minorHAnsi"/>
          <w:b/>
          <w:sz w:val="22"/>
          <w:szCs w:val="22"/>
          <w:lang w:val="en-US"/>
        </w:rPr>
        <w:t>do not disclose any appearance of a violation</w:t>
      </w:r>
      <w:r w:rsidRPr="00E162D3">
        <w:rPr>
          <w:rFonts w:asciiTheme="minorHAnsi" w:hAnsiTheme="minorHAnsi"/>
          <w:sz w:val="22"/>
          <w:szCs w:val="22"/>
          <w:lang w:val="en-US"/>
        </w:rPr>
        <w:t xml:space="preserve"> of the rights … </w:t>
      </w:r>
    </w:p>
    <w:p w:rsidR="00AB49BB" w:rsidRPr="00AB49BB" w:rsidRDefault="00AB49BB" w:rsidP="00155353">
      <w:pPr>
        <w:pStyle w:val="JuPara"/>
        <w:spacing w:after="120"/>
        <w:ind w:left="426" w:firstLine="0"/>
        <w:rPr>
          <w:rFonts w:asciiTheme="minorHAnsi" w:hAnsiTheme="minorHAnsi"/>
          <w:sz w:val="22"/>
          <w:szCs w:val="22"/>
          <w:lang w:val="pl-PL"/>
        </w:rPr>
      </w:pPr>
      <w:r w:rsidRPr="00AB49BB">
        <w:rPr>
          <w:rFonts w:asciiTheme="minorHAnsi" w:hAnsiTheme="minorHAnsi"/>
          <w:sz w:val="22"/>
          <w:szCs w:val="22"/>
          <w:lang w:val="pl-PL"/>
        </w:rPr>
        <w:t xml:space="preserve">w świetle </w:t>
      </w:r>
      <w:r w:rsidR="00155353">
        <w:rPr>
          <w:rFonts w:asciiTheme="minorHAnsi" w:hAnsiTheme="minorHAnsi"/>
          <w:sz w:val="22"/>
          <w:szCs w:val="22"/>
          <w:lang w:val="pl-PL"/>
        </w:rPr>
        <w:t xml:space="preserve">wszystkich </w:t>
      </w:r>
      <w:r w:rsidRPr="00AB49BB">
        <w:rPr>
          <w:rFonts w:asciiTheme="minorHAnsi" w:hAnsiTheme="minorHAnsi"/>
          <w:sz w:val="22"/>
          <w:szCs w:val="22"/>
          <w:lang w:val="pl-PL"/>
        </w:rPr>
        <w:t>posiadanych dokumentów i w zakresie, w jakim kwestie będące przedmiotem skargi należą do jego kompetencji, Trybunał uznaje, że nie wskazują one na wystąpienie jakiegokolwiek naruszenia praw …</w:t>
      </w:r>
    </w:p>
    <w:p w:rsidR="00CD1A7C" w:rsidRPr="00177D15" w:rsidRDefault="00CD1A7C" w:rsidP="0011458C">
      <w:pPr>
        <w:pStyle w:val="JuPara"/>
        <w:numPr>
          <w:ilvl w:val="0"/>
          <w:numId w:val="5"/>
        </w:numPr>
        <w:spacing w:after="120"/>
        <w:ind w:left="426" w:hanging="357"/>
        <w:rPr>
          <w:rFonts w:asciiTheme="minorHAnsi" w:hAnsiTheme="minorHAnsi"/>
          <w:sz w:val="22"/>
          <w:szCs w:val="22"/>
          <w:lang w:val="en-US"/>
        </w:rPr>
      </w:pPr>
      <w:r w:rsidRPr="00CD1A7C">
        <w:rPr>
          <w:rFonts w:asciiTheme="minorHAnsi" w:hAnsiTheme="minorHAnsi"/>
          <w:sz w:val="22"/>
          <w:szCs w:val="22"/>
        </w:rPr>
        <w:t>The Court considers it appropriate that the default interest rate should be based on the marginal lending rate of the European Central Bank, to which should be added three percentage points</w:t>
      </w:r>
    </w:p>
    <w:p w:rsidR="002E4990" w:rsidRPr="00D641F3" w:rsidRDefault="002E4990" w:rsidP="00CD1A7C">
      <w:pPr>
        <w:pStyle w:val="JuPara"/>
        <w:spacing w:after="120"/>
        <w:ind w:left="426" w:firstLine="0"/>
        <w:rPr>
          <w:rFonts w:asciiTheme="minorHAnsi" w:hAnsiTheme="minorHAnsi"/>
          <w:sz w:val="22"/>
          <w:szCs w:val="22"/>
          <w:lang w:val="pl-PL"/>
        </w:rPr>
      </w:pPr>
      <w:r w:rsidRPr="00D641F3">
        <w:rPr>
          <w:rFonts w:asciiTheme="minorHAnsi" w:hAnsiTheme="minorHAnsi"/>
          <w:bCs/>
          <w:iCs/>
          <w:sz w:val="22"/>
          <w:szCs w:val="22"/>
          <w:lang w:val="pl-PL"/>
        </w:rPr>
        <w:t>Trybunał za słuszne uznaje wyznaczenie wysokości odsetek za zwłokę na podstawie marginalnej stopy procentowej Europejskiego Banku Centralnego powiększonej o trzy punkty procentowe</w:t>
      </w:r>
      <w:r w:rsidRPr="00D641F3">
        <w:rPr>
          <w:rFonts w:asciiTheme="minorHAnsi" w:hAnsiTheme="minorHAnsi"/>
          <w:sz w:val="22"/>
          <w:szCs w:val="22"/>
          <w:lang w:val="pl-PL"/>
        </w:rPr>
        <w:t>.</w:t>
      </w:r>
    </w:p>
    <w:p w:rsidR="00CD1A7C" w:rsidRPr="00177D15" w:rsidRDefault="00CD1A7C" w:rsidP="0011458C">
      <w:pPr>
        <w:pStyle w:val="JuParaLast"/>
        <w:numPr>
          <w:ilvl w:val="0"/>
          <w:numId w:val="5"/>
        </w:numPr>
        <w:spacing w:before="0" w:after="120"/>
        <w:ind w:left="426" w:hanging="357"/>
        <w:jc w:val="left"/>
        <w:rPr>
          <w:rFonts w:asciiTheme="minorHAnsi" w:hAnsiTheme="minorHAnsi"/>
          <w:sz w:val="22"/>
          <w:szCs w:val="22"/>
          <w:lang w:val="en-US"/>
        </w:rPr>
      </w:pPr>
      <w:r w:rsidRPr="00CD1A7C">
        <w:rPr>
          <w:rFonts w:asciiTheme="minorHAnsi" w:hAnsiTheme="minorHAnsi"/>
          <w:sz w:val="22"/>
          <w:szCs w:val="22"/>
        </w:rPr>
        <w:t>Done in English and notified in writing on</w:t>
      </w:r>
      <w:r>
        <w:rPr>
          <w:rFonts w:asciiTheme="minorHAnsi" w:hAnsiTheme="minorHAnsi"/>
          <w:sz w:val="22"/>
          <w:szCs w:val="22"/>
        </w:rPr>
        <w:t xml:space="preserve"> ………….</w:t>
      </w:r>
      <w:r w:rsidRPr="00CD1A7C">
        <w:rPr>
          <w:rFonts w:asciiTheme="minorHAnsi" w:hAnsiTheme="minorHAnsi"/>
          <w:sz w:val="22"/>
          <w:szCs w:val="22"/>
        </w:rPr>
        <w:t>, pursuant to Rule 77 §§ 2 and 3 of the Rules of Court</w:t>
      </w:r>
    </w:p>
    <w:p w:rsidR="00F679BD" w:rsidRPr="00177D15" w:rsidRDefault="00F679BD" w:rsidP="00CD1A7C">
      <w:pPr>
        <w:pStyle w:val="JuParaLast"/>
        <w:spacing w:before="0" w:after="120"/>
        <w:ind w:left="426" w:firstLine="0"/>
        <w:jc w:val="left"/>
        <w:rPr>
          <w:rFonts w:asciiTheme="minorHAnsi" w:hAnsiTheme="minorHAnsi"/>
          <w:sz w:val="22"/>
          <w:szCs w:val="22"/>
          <w:lang w:val="en-US"/>
        </w:rPr>
      </w:pPr>
      <w:r w:rsidRPr="00D641F3">
        <w:rPr>
          <w:rFonts w:asciiTheme="minorHAnsi" w:hAnsiTheme="minorHAnsi"/>
          <w:sz w:val="22"/>
          <w:szCs w:val="22"/>
          <w:lang w:val="pl-PL"/>
        </w:rPr>
        <w:t xml:space="preserve">Sporządzono w języku angielskim i obwieszczono pisemnie dnia ….  </w:t>
      </w:r>
      <w:r w:rsidRPr="00177D15">
        <w:rPr>
          <w:rFonts w:asciiTheme="minorHAnsi" w:hAnsiTheme="minorHAnsi"/>
          <w:sz w:val="22"/>
          <w:szCs w:val="22"/>
          <w:lang w:val="en-US"/>
        </w:rPr>
        <w:t xml:space="preserve">r., zgodnie z </w:t>
      </w:r>
      <w:r w:rsidR="009724E0">
        <w:rPr>
          <w:rFonts w:asciiTheme="minorHAnsi" w:hAnsiTheme="minorHAnsi"/>
          <w:sz w:val="22"/>
          <w:szCs w:val="22"/>
          <w:lang w:val="en-US"/>
        </w:rPr>
        <w:t>R</w:t>
      </w:r>
      <w:r w:rsidR="0011458C" w:rsidRPr="00177D15">
        <w:rPr>
          <w:rFonts w:asciiTheme="minorHAnsi" w:hAnsiTheme="minorHAnsi"/>
          <w:sz w:val="22"/>
          <w:szCs w:val="22"/>
          <w:lang w:val="en-US"/>
        </w:rPr>
        <w:t>egułą</w:t>
      </w:r>
      <w:r w:rsidRPr="00177D15">
        <w:rPr>
          <w:rFonts w:asciiTheme="minorHAnsi" w:hAnsiTheme="minorHAnsi"/>
          <w:sz w:val="22"/>
          <w:szCs w:val="22"/>
          <w:lang w:val="en-US"/>
        </w:rPr>
        <w:t xml:space="preserve"> 77 </w:t>
      </w:r>
      <w:r w:rsidRPr="006E3BFE">
        <w:rPr>
          <w:rFonts w:asciiTheme="minorHAnsi" w:hAnsiTheme="minorHAnsi"/>
          <w:sz w:val="22"/>
          <w:szCs w:val="22"/>
          <w:lang w:val="en-US"/>
        </w:rPr>
        <w:t>§§</w:t>
      </w:r>
      <w:r w:rsidRPr="00177D15">
        <w:rPr>
          <w:rFonts w:asciiTheme="minorHAnsi" w:hAnsiTheme="minorHAnsi"/>
          <w:sz w:val="22"/>
          <w:szCs w:val="22"/>
          <w:lang w:val="en-US"/>
        </w:rPr>
        <w:t xml:space="preserve"> 2 i 3 Regulaminu Trybunału.</w:t>
      </w:r>
    </w:p>
    <w:p w:rsidR="00A83072" w:rsidRPr="00177D15" w:rsidRDefault="00A83072" w:rsidP="00155353">
      <w:pPr>
        <w:pStyle w:val="JuParaLast"/>
        <w:numPr>
          <w:ilvl w:val="0"/>
          <w:numId w:val="5"/>
        </w:numPr>
        <w:spacing w:before="0" w:after="120"/>
        <w:ind w:left="426" w:hanging="357"/>
        <w:jc w:val="left"/>
        <w:rPr>
          <w:rFonts w:asciiTheme="minorHAnsi" w:hAnsiTheme="minorHAnsi"/>
          <w:sz w:val="22"/>
          <w:szCs w:val="22"/>
          <w:lang w:val="en-US"/>
        </w:rPr>
      </w:pPr>
      <w:r w:rsidRPr="00177D15">
        <w:rPr>
          <w:rFonts w:asciiTheme="minorHAnsi" w:hAnsiTheme="minorHAnsi"/>
          <w:sz w:val="22"/>
          <w:szCs w:val="22"/>
          <w:lang w:val="en-US"/>
        </w:rPr>
        <w:t>Holds</w:t>
      </w:r>
    </w:p>
    <w:p w:rsidR="00177D15" w:rsidRPr="00177D15" w:rsidRDefault="00177D15" w:rsidP="00155353">
      <w:pPr>
        <w:pStyle w:val="JuLista"/>
        <w:keepNext/>
        <w:keepLines/>
        <w:ind w:left="567"/>
        <w:rPr>
          <w:rFonts w:asciiTheme="minorHAnsi" w:hAnsiTheme="minorHAnsi"/>
          <w:sz w:val="22"/>
          <w:szCs w:val="22"/>
          <w:lang w:val="en-US"/>
        </w:rPr>
      </w:pPr>
      <w:r w:rsidRPr="00177D15">
        <w:rPr>
          <w:rFonts w:asciiTheme="minorHAnsi" w:hAnsiTheme="minorHAnsi"/>
          <w:sz w:val="22"/>
          <w:szCs w:val="22"/>
          <w:lang w:val="en-US"/>
        </w:rPr>
        <w:t>(a) that the respondent State is to pay the applicant, within three months of the date on which the judgment becomes final in accordance with Article 44 § 2 of the Convention, the following amounts, to be converted into the currency of the respondent State at the rate applicable at the date of settlement:</w:t>
      </w:r>
    </w:p>
    <w:p w:rsidR="00A83072" w:rsidRPr="00E162D3" w:rsidRDefault="00A83072" w:rsidP="00155353">
      <w:pPr>
        <w:pStyle w:val="JuListi"/>
        <w:ind w:left="567"/>
        <w:rPr>
          <w:rFonts w:asciiTheme="minorHAnsi" w:hAnsiTheme="minorHAnsi"/>
          <w:sz w:val="22"/>
          <w:szCs w:val="22"/>
          <w:lang w:val="en-US"/>
        </w:rPr>
      </w:pPr>
      <w:r w:rsidRPr="00E162D3">
        <w:rPr>
          <w:rFonts w:asciiTheme="minorHAnsi" w:hAnsiTheme="minorHAnsi"/>
          <w:sz w:val="22"/>
          <w:szCs w:val="22"/>
          <w:lang w:val="en-US"/>
        </w:rPr>
        <w:t>(i) EUR …….. (…….. euros), plus any tax that may be chargeable, in respect of non-pecuniary damage;</w:t>
      </w:r>
    </w:p>
    <w:p w:rsidR="00177D15" w:rsidRPr="00E162D3" w:rsidRDefault="00177D15" w:rsidP="00155353">
      <w:pPr>
        <w:pStyle w:val="JuListi"/>
        <w:ind w:left="567"/>
        <w:rPr>
          <w:rFonts w:asciiTheme="minorHAnsi" w:hAnsiTheme="minorHAnsi"/>
          <w:sz w:val="22"/>
          <w:szCs w:val="22"/>
          <w:lang w:val="en-US"/>
        </w:rPr>
      </w:pPr>
      <w:r w:rsidRPr="00E162D3">
        <w:rPr>
          <w:rFonts w:asciiTheme="minorHAnsi" w:hAnsiTheme="minorHAnsi"/>
          <w:sz w:val="22"/>
          <w:szCs w:val="22"/>
          <w:lang w:val="en-US"/>
        </w:rPr>
        <w:t>(i) EUR …….. (…….. euros), plus any tax that may be chargeable, in respect of pecuniary damage;</w:t>
      </w:r>
    </w:p>
    <w:p w:rsidR="00A83072" w:rsidRPr="00177D15" w:rsidRDefault="00A83072" w:rsidP="00155353">
      <w:pPr>
        <w:pStyle w:val="JuListi"/>
        <w:ind w:left="567"/>
        <w:rPr>
          <w:rFonts w:asciiTheme="minorHAnsi" w:hAnsiTheme="minorHAnsi"/>
          <w:sz w:val="22"/>
          <w:szCs w:val="22"/>
          <w:lang w:val="en-US"/>
        </w:rPr>
      </w:pPr>
      <w:r w:rsidRPr="00177D15">
        <w:rPr>
          <w:rFonts w:asciiTheme="minorHAnsi" w:hAnsiTheme="minorHAnsi"/>
          <w:sz w:val="22"/>
          <w:szCs w:val="22"/>
          <w:lang w:val="en-US"/>
        </w:rPr>
        <w:t>(i</w:t>
      </w:r>
      <w:r w:rsidR="00177D15" w:rsidRPr="00177D15">
        <w:rPr>
          <w:rFonts w:asciiTheme="minorHAnsi" w:hAnsiTheme="minorHAnsi"/>
          <w:sz w:val="22"/>
          <w:szCs w:val="22"/>
          <w:lang w:val="en-US"/>
        </w:rPr>
        <w:t>i</w:t>
      </w:r>
      <w:r w:rsidRPr="00177D15">
        <w:rPr>
          <w:rFonts w:asciiTheme="minorHAnsi" w:hAnsiTheme="minorHAnsi"/>
          <w:sz w:val="22"/>
          <w:szCs w:val="22"/>
          <w:lang w:val="en-US"/>
        </w:rPr>
        <w:t>i) EUR (………….. euros), plus any tax that may be chargeable, in respect of costs and expenses;</w:t>
      </w:r>
    </w:p>
    <w:p w:rsidR="00A83072" w:rsidRPr="00E162D3" w:rsidRDefault="00A83072" w:rsidP="00FF3AA5">
      <w:pPr>
        <w:pStyle w:val="JuLista"/>
        <w:keepNext/>
        <w:keepLines/>
        <w:spacing w:after="120"/>
        <w:ind w:left="567"/>
        <w:rPr>
          <w:rFonts w:asciiTheme="minorHAnsi" w:hAnsiTheme="minorHAnsi"/>
          <w:sz w:val="22"/>
          <w:szCs w:val="22"/>
          <w:lang w:val="en-US"/>
        </w:rPr>
      </w:pPr>
      <w:r w:rsidRPr="00E162D3">
        <w:rPr>
          <w:rFonts w:asciiTheme="minorHAnsi" w:hAnsiTheme="minorHAnsi"/>
          <w:sz w:val="22"/>
          <w:szCs w:val="22"/>
          <w:lang w:val="en-US"/>
        </w:rPr>
        <w:t>(b) that from the expiry of the above-mentioned three months until settlement simple interest shall be payable on the above amounts at a rate equal to the marginal lending rate of the European Central Bank during the default period plus three percentage points</w:t>
      </w:r>
      <w:r w:rsidR="00177D15" w:rsidRPr="00E162D3">
        <w:rPr>
          <w:rFonts w:asciiTheme="minorHAnsi" w:hAnsiTheme="minorHAnsi"/>
          <w:sz w:val="22"/>
          <w:szCs w:val="22"/>
          <w:lang w:val="en-US"/>
        </w:rPr>
        <w:t>;</w:t>
      </w:r>
    </w:p>
    <w:p w:rsidR="0010668A" w:rsidRPr="0010668A" w:rsidRDefault="000561FA" w:rsidP="00155353">
      <w:pPr>
        <w:pStyle w:val="JuLista"/>
        <w:spacing w:after="120"/>
        <w:ind w:left="567"/>
        <w:jc w:val="left"/>
        <w:rPr>
          <w:rFonts w:asciiTheme="minorHAnsi" w:hAnsiTheme="minorHAnsi"/>
          <w:bCs/>
          <w:iCs/>
          <w:sz w:val="22"/>
          <w:szCs w:val="22"/>
          <w:lang w:val="pl-PL"/>
        </w:rPr>
      </w:pPr>
      <w:r w:rsidRPr="000561FA">
        <w:rPr>
          <w:rFonts w:asciiTheme="minorHAnsi" w:hAnsiTheme="minorHAnsi"/>
          <w:bCs/>
          <w:i/>
          <w:iCs/>
          <w:sz w:val="22"/>
          <w:szCs w:val="22"/>
          <w:lang w:val="pl-PL"/>
        </w:rPr>
        <w:t>Orzeka</w:t>
      </w:r>
      <w:r w:rsidR="0010668A" w:rsidRPr="0010668A">
        <w:rPr>
          <w:rFonts w:asciiTheme="minorHAnsi" w:hAnsiTheme="minorHAnsi"/>
          <w:bCs/>
          <w:iCs/>
          <w:sz w:val="22"/>
          <w:szCs w:val="22"/>
          <w:lang w:val="pl-PL"/>
        </w:rPr>
        <w:t>,</w:t>
      </w:r>
    </w:p>
    <w:p w:rsidR="0010668A" w:rsidRPr="0010668A" w:rsidRDefault="0010668A" w:rsidP="00155353">
      <w:pPr>
        <w:pStyle w:val="JuLista"/>
        <w:keepNext/>
        <w:keepLines/>
        <w:ind w:left="567"/>
        <w:rPr>
          <w:rFonts w:asciiTheme="minorHAnsi" w:hAnsiTheme="minorHAnsi"/>
          <w:sz w:val="22"/>
          <w:szCs w:val="22"/>
          <w:lang w:val="pl-PL"/>
        </w:rPr>
      </w:pPr>
      <w:r w:rsidRPr="0010668A">
        <w:rPr>
          <w:rFonts w:asciiTheme="minorHAnsi" w:hAnsiTheme="minorHAnsi"/>
          <w:sz w:val="22"/>
          <w:szCs w:val="22"/>
          <w:lang w:val="pl-PL"/>
        </w:rPr>
        <w:t>(a)  że pozwane państwo winno, w terminie trzech miesięcy od daty, w której niniejszy wyrok stanie się ostateczny zgodnie z art. 44 </w:t>
      </w:r>
      <w:r w:rsidR="004A58FA">
        <w:rPr>
          <w:rFonts w:asciiTheme="minorHAnsi" w:hAnsiTheme="minorHAnsi"/>
          <w:sz w:val="22"/>
          <w:szCs w:val="22"/>
          <w:lang w:val="pl-PL"/>
        </w:rPr>
        <w:t>ust.</w:t>
      </w:r>
      <w:r w:rsidRPr="0010668A">
        <w:rPr>
          <w:rFonts w:asciiTheme="minorHAnsi" w:hAnsiTheme="minorHAnsi"/>
          <w:sz w:val="22"/>
          <w:szCs w:val="22"/>
          <w:lang w:val="pl-PL"/>
        </w:rPr>
        <w:t xml:space="preserve"> 2 Konwencji, uiścić na rzecz skarżącego następujące kwoty, przeliczone na walutę pozwanego państwa według kursu obowiązującego w dniu płatności: </w:t>
      </w:r>
    </w:p>
    <w:p w:rsidR="0010668A" w:rsidRPr="0010668A" w:rsidRDefault="0010668A" w:rsidP="00155353">
      <w:pPr>
        <w:pStyle w:val="JuListi"/>
        <w:ind w:left="567"/>
        <w:rPr>
          <w:rFonts w:asciiTheme="minorHAnsi" w:hAnsiTheme="minorHAnsi"/>
          <w:sz w:val="22"/>
          <w:szCs w:val="22"/>
          <w:lang w:val="pl-PL"/>
        </w:rPr>
      </w:pPr>
      <w:r w:rsidRPr="0010668A">
        <w:rPr>
          <w:rFonts w:asciiTheme="minorHAnsi" w:hAnsiTheme="minorHAnsi"/>
          <w:sz w:val="22"/>
          <w:szCs w:val="22"/>
          <w:lang w:val="pl-PL"/>
        </w:rPr>
        <w:t>(i)  </w:t>
      </w:r>
      <w:r w:rsidR="00DA6DA7">
        <w:rPr>
          <w:rFonts w:asciiTheme="minorHAnsi" w:hAnsiTheme="minorHAnsi"/>
          <w:sz w:val="22"/>
          <w:szCs w:val="22"/>
          <w:lang w:val="pl-PL"/>
        </w:rPr>
        <w:t>n</w:t>
      </w:r>
      <w:r w:rsidRPr="0010668A">
        <w:rPr>
          <w:rFonts w:asciiTheme="minorHAnsi" w:hAnsiTheme="minorHAnsi"/>
          <w:sz w:val="22"/>
          <w:szCs w:val="22"/>
          <w:lang w:val="pl-PL"/>
        </w:rPr>
        <w:t xml:space="preserve"> EUR (</w:t>
      </w:r>
      <w:r w:rsidR="00DA6DA7">
        <w:rPr>
          <w:rFonts w:asciiTheme="minorHAnsi" w:hAnsiTheme="minorHAnsi"/>
          <w:sz w:val="22"/>
          <w:szCs w:val="22"/>
          <w:lang w:val="pl-PL"/>
        </w:rPr>
        <w:t>n</w:t>
      </w:r>
      <w:r w:rsidRPr="0010668A">
        <w:rPr>
          <w:rFonts w:asciiTheme="minorHAnsi" w:hAnsiTheme="minorHAnsi"/>
          <w:sz w:val="22"/>
          <w:szCs w:val="22"/>
          <w:lang w:val="pl-PL"/>
        </w:rPr>
        <w:t xml:space="preserve"> euro), plus wszelkie należne podatki, tytułem zadośćuczynienia za szkodę niemajątkową;</w:t>
      </w:r>
    </w:p>
    <w:p w:rsidR="0010668A" w:rsidRPr="0010668A" w:rsidRDefault="0010668A" w:rsidP="00155353">
      <w:pPr>
        <w:pStyle w:val="JuListi"/>
        <w:ind w:left="567"/>
        <w:rPr>
          <w:rFonts w:asciiTheme="minorHAnsi" w:hAnsiTheme="minorHAnsi"/>
          <w:sz w:val="22"/>
          <w:szCs w:val="22"/>
          <w:lang w:val="pl-PL"/>
        </w:rPr>
      </w:pPr>
      <w:r w:rsidRPr="0010668A">
        <w:rPr>
          <w:rFonts w:asciiTheme="minorHAnsi" w:hAnsiTheme="minorHAnsi"/>
          <w:sz w:val="22"/>
          <w:szCs w:val="22"/>
          <w:lang w:val="pl-PL"/>
        </w:rPr>
        <w:t>(ii)  </w:t>
      </w:r>
      <w:r w:rsidR="00DA6DA7">
        <w:rPr>
          <w:rFonts w:asciiTheme="minorHAnsi" w:hAnsiTheme="minorHAnsi"/>
          <w:sz w:val="22"/>
          <w:szCs w:val="22"/>
          <w:lang w:val="pl-PL"/>
        </w:rPr>
        <w:t>n</w:t>
      </w:r>
      <w:r w:rsidRPr="0010668A">
        <w:rPr>
          <w:rFonts w:asciiTheme="minorHAnsi" w:hAnsiTheme="minorHAnsi"/>
          <w:sz w:val="22"/>
          <w:szCs w:val="22"/>
          <w:lang w:val="pl-PL"/>
        </w:rPr>
        <w:t xml:space="preserve"> EUR (</w:t>
      </w:r>
      <w:r w:rsidR="00DA6DA7">
        <w:rPr>
          <w:rFonts w:asciiTheme="minorHAnsi" w:hAnsiTheme="minorHAnsi"/>
          <w:sz w:val="22"/>
          <w:szCs w:val="22"/>
          <w:lang w:val="pl-PL"/>
        </w:rPr>
        <w:t>n</w:t>
      </w:r>
      <w:r w:rsidRPr="0010668A">
        <w:rPr>
          <w:rFonts w:asciiTheme="minorHAnsi" w:hAnsiTheme="minorHAnsi"/>
          <w:sz w:val="22"/>
          <w:szCs w:val="22"/>
          <w:lang w:val="pl-PL"/>
        </w:rPr>
        <w:t xml:space="preserve"> euro), plus wszelkie należne podatki, tytułem zadośćuczynienia za szkodę majątkową;</w:t>
      </w:r>
    </w:p>
    <w:p w:rsidR="0010668A" w:rsidRPr="0010668A" w:rsidRDefault="0010668A" w:rsidP="00155353">
      <w:pPr>
        <w:pStyle w:val="JuListi"/>
        <w:ind w:left="567"/>
        <w:rPr>
          <w:rFonts w:asciiTheme="minorHAnsi" w:hAnsiTheme="minorHAnsi"/>
          <w:sz w:val="22"/>
          <w:szCs w:val="22"/>
          <w:lang w:val="pl-PL"/>
        </w:rPr>
      </w:pPr>
      <w:r w:rsidRPr="0010668A">
        <w:rPr>
          <w:rFonts w:asciiTheme="minorHAnsi" w:hAnsiTheme="minorHAnsi"/>
          <w:sz w:val="22"/>
          <w:szCs w:val="22"/>
          <w:lang w:val="pl-PL"/>
        </w:rPr>
        <w:t>(iii)  </w:t>
      </w:r>
      <w:r w:rsidR="00DA6DA7">
        <w:rPr>
          <w:rFonts w:asciiTheme="minorHAnsi" w:hAnsiTheme="minorHAnsi"/>
          <w:sz w:val="22"/>
          <w:szCs w:val="22"/>
          <w:lang w:val="pl-PL"/>
        </w:rPr>
        <w:t>n</w:t>
      </w:r>
      <w:r w:rsidRPr="0010668A">
        <w:rPr>
          <w:rFonts w:asciiTheme="minorHAnsi" w:hAnsiTheme="minorHAnsi"/>
          <w:sz w:val="22"/>
          <w:szCs w:val="22"/>
          <w:lang w:val="pl-PL"/>
        </w:rPr>
        <w:t xml:space="preserve"> EUR (</w:t>
      </w:r>
      <w:r w:rsidR="00DA6DA7">
        <w:rPr>
          <w:rFonts w:asciiTheme="minorHAnsi" w:hAnsiTheme="minorHAnsi"/>
          <w:sz w:val="22"/>
          <w:szCs w:val="22"/>
          <w:lang w:val="pl-PL"/>
        </w:rPr>
        <w:t>n</w:t>
      </w:r>
      <w:r w:rsidRPr="0010668A">
        <w:rPr>
          <w:rFonts w:asciiTheme="minorHAnsi" w:hAnsiTheme="minorHAnsi"/>
          <w:sz w:val="22"/>
          <w:szCs w:val="22"/>
          <w:lang w:val="pl-PL"/>
        </w:rPr>
        <w:t xml:space="preserve"> euro), plus wszelkie należne podatki, tytułem poniesionych kosztów i wydatków;</w:t>
      </w:r>
    </w:p>
    <w:p w:rsidR="00A85F08" w:rsidRPr="00520907" w:rsidRDefault="0010668A" w:rsidP="00520907">
      <w:pPr>
        <w:pStyle w:val="JuLista"/>
        <w:spacing w:after="120"/>
        <w:ind w:left="567"/>
        <w:jc w:val="left"/>
        <w:rPr>
          <w:rFonts w:asciiTheme="minorHAnsi" w:hAnsiTheme="minorHAnsi"/>
          <w:sz w:val="22"/>
          <w:szCs w:val="22"/>
          <w:lang w:val="pl-PL"/>
        </w:rPr>
      </w:pPr>
      <w:r w:rsidRPr="0010668A">
        <w:rPr>
          <w:rFonts w:asciiTheme="minorHAnsi" w:hAnsiTheme="minorHAnsi"/>
          <w:sz w:val="22"/>
          <w:szCs w:val="22"/>
          <w:lang w:val="pl-PL"/>
        </w:rPr>
        <w:t>(b)  </w:t>
      </w:r>
      <w:r w:rsidRPr="0010668A">
        <w:rPr>
          <w:rFonts w:asciiTheme="minorHAnsi" w:hAnsiTheme="minorHAnsi"/>
          <w:bCs/>
          <w:iCs/>
          <w:sz w:val="22"/>
          <w:szCs w:val="22"/>
          <w:lang w:val="pl-PL"/>
        </w:rPr>
        <w:t>że od upływu wyżej wskazanego terminu trzech miesięcy aż do momentu uregulowania należności, należne będą odsetki zwykłe od określonej powyżej kwoty, naliczone według stopy równej marginalnej stopie procentowej Europejskiego Banku Centralnego obowiązującej w tym okresie, powiększonej o trzy punkty procentowe</w:t>
      </w:r>
      <w:r w:rsidRPr="0010668A">
        <w:rPr>
          <w:rFonts w:asciiTheme="minorHAnsi" w:hAnsiTheme="minorHAnsi"/>
          <w:sz w:val="22"/>
          <w:szCs w:val="22"/>
          <w:lang w:val="pl-PL"/>
        </w:rPr>
        <w:t>;</w:t>
      </w:r>
      <w:bookmarkStart w:id="0" w:name="_GoBack"/>
      <w:bookmarkEnd w:id="0"/>
    </w:p>
    <w:sectPr w:rsidR="00A85F08" w:rsidRPr="00520907" w:rsidSect="00AD454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ABC" w:rsidRDefault="002F6ABC" w:rsidP="00195122">
      <w:pPr>
        <w:spacing w:after="0" w:line="240" w:lineRule="auto"/>
      </w:pPr>
      <w:r>
        <w:separator/>
      </w:r>
    </w:p>
  </w:endnote>
  <w:endnote w:type="continuationSeparator" w:id="0">
    <w:p w:rsidR="002F6ABC" w:rsidRDefault="002F6ABC" w:rsidP="00195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704753"/>
      <w:docPartObj>
        <w:docPartGallery w:val="Page Numbers (Bottom of Page)"/>
        <w:docPartUnique/>
      </w:docPartObj>
    </w:sdtPr>
    <w:sdtEndPr/>
    <w:sdtContent>
      <w:p w:rsidR="00134773" w:rsidRDefault="00134773">
        <w:pPr>
          <w:pStyle w:val="Stopka"/>
          <w:jc w:val="right"/>
        </w:pPr>
        <w:r>
          <w:fldChar w:fldCharType="begin"/>
        </w:r>
        <w:r>
          <w:instrText>PAGE   \* MERGEFORMAT</w:instrText>
        </w:r>
        <w:r>
          <w:fldChar w:fldCharType="separate"/>
        </w:r>
        <w:r w:rsidR="00520907" w:rsidRPr="00520907">
          <w:rPr>
            <w:noProof/>
            <w:lang w:val="pl-PL"/>
          </w:rPr>
          <w:t>7</w:t>
        </w:r>
        <w:r>
          <w:fldChar w:fldCharType="end"/>
        </w:r>
      </w:p>
    </w:sdtContent>
  </w:sdt>
  <w:p w:rsidR="00134773" w:rsidRDefault="0013477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03604"/>
      <w:docPartObj>
        <w:docPartGallery w:val="Page Numbers (Bottom of Page)"/>
        <w:docPartUnique/>
      </w:docPartObj>
    </w:sdtPr>
    <w:sdtEndPr/>
    <w:sdtContent>
      <w:p w:rsidR="00B73148" w:rsidRDefault="00B73148">
        <w:pPr>
          <w:pStyle w:val="Stopka"/>
          <w:jc w:val="right"/>
        </w:pPr>
        <w:r>
          <w:fldChar w:fldCharType="begin"/>
        </w:r>
        <w:r>
          <w:instrText>PAGE   \* MERGEFORMAT</w:instrText>
        </w:r>
        <w:r>
          <w:fldChar w:fldCharType="separate"/>
        </w:r>
        <w:r w:rsidR="00520907" w:rsidRPr="00520907">
          <w:rPr>
            <w:noProof/>
            <w:lang w:val="pl-PL"/>
          </w:rPr>
          <w:t>1</w:t>
        </w:r>
        <w:r>
          <w:fldChar w:fldCharType="end"/>
        </w:r>
      </w:p>
    </w:sdtContent>
  </w:sdt>
  <w:p w:rsidR="00B73148" w:rsidRDefault="00B7314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ABC" w:rsidRDefault="002F6ABC" w:rsidP="00195122">
      <w:pPr>
        <w:spacing w:after="0" w:line="240" w:lineRule="auto"/>
      </w:pPr>
      <w:r>
        <w:separator/>
      </w:r>
    </w:p>
  </w:footnote>
  <w:footnote w:type="continuationSeparator" w:id="0">
    <w:p w:rsidR="002F6ABC" w:rsidRDefault="002F6ABC" w:rsidP="00195122">
      <w:pPr>
        <w:spacing w:after="0" w:line="240" w:lineRule="auto"/>
      </w:pPr>
      <w:r>
        <w:continuationSeparator/>
      </w:r>
    </w:p>
  </w:footnote>
  <w:footnote w:id="1">
    <w:p w:rsidR="0002237B" w:rsidRPr="00177D15" w:rsidRDefault="0002237B" w:rsidP="0002237B">
      <w:pPr>
        <w:pStyle w:val="Tekstprzypisudolnego"/>
        <w:rPr>
          <w:lang w:val="pl-PL"/>
        </w:rPr>
      </w:pPr>
      <w:r>
        <w:rPr>
          <w:rStyle w:val="Odwoanieprzypisudolnego"/>
        </w:rPr>
        <w:footnoteRef/>
      </w:r>
      <w:r w:rsidRPr="00177D15">
        <w:rPr>
          <w:lang w:val="pl-PL"/>
        </w:rPr>
        <w:t xml:space="preserve"> </w:t>
      </w:r>
      <w:hyperlink r:id="rId1" w:history="1">
        <w:r w:rsidRPr="00177D15">
          <w:rPr>
            <w:rStyle w:val="Hipercze"/>
            <w:lang w:val="pl-PL"/>
          </w:rPr>
          <w:t>http://www.msz.gov.pl/pl/polityka_zagraniczna/europejski_trybunal_praw_czlowieka/akty_prawne/</w:t>
        </w:r>
      </w:hyperlink>
      <w:r w:rsidRPr="00177D15">
        <w:rPr>
          <w:lang w:val="pl-P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548" w:rsidRDefault="00AD4548">
    <w:pPr>
      <w:pStyle w:val="Nagwek"/>
    </w:pPr>
    <w:r>
      <w:rPr>
        <w:noProof/>
        <w:lang w:val="pl-PL" w:eastAsia="pl-PL"/>
      </w:rPr>
      <w:drawing>
        <wp:anchor distT="0" distB="0" distL="114300" distR="114300" simplePos="0" relativeHeight="251659264" behindDoc="1" locked="0" layoutInCell="1" allowOverlap="1" wp14:anchorId="4C293F55" wp14:editId="656F7359">
          <wp:simplePos x="0" y="0"/>
          <wp:positionH relativeFrom="page">
            <wp:posOffset>152400</wp:posOffset>
          </wp:positionH>
          <wp:positionV relativeFrom="page">
            <wp:posOffset>152400</wp:posOffset>
          </wp:positionV>
          <wp:extent cx="2529205" cy="2451100"/>
          <wp:effectExtent l="0" t="0" r="4445" b="6350"/>
          <wp:wrapNone/>
          <wp:docPr id="1" name="Obraz 1" descr="dept_ds_postepowan PL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_ds_postepowan PL 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205" cy="2451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F4ED7"/>
    <w:multiLevelType w:val="hybridMultilevel"/>
    <w:tmpl w:val="CC78AE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4AB24AD"/>
    <w:multiLevelType w:val="hybridMultilevel"/>
    <w:tmpl w:val="4F8627D4"/>
    <w:lvl w:ilvl="0" w:tplc="0415000B">
      <w:start w:val="1"/>
      <w:numFmt w:val="bullet"/>
      <w:lvlText w:val=""/>
      <w:lvlJc w:val="left"/>
      <w:pPr>
        <w:ind w:left="6" w:hanging="360"/>
      </w:pPr>
      <w:rPr>
        <w:rFonts w:ascii="Wingdings" w:hAnsi="Wingdings" w:hint="default"/>
      </w:rPr>
    </w:lvl>
    <w:lvl w:ilvl="1" w:tplc="04150003" w:tentative="1">
      <w:start w:val="1"/>
      <w:numFmt w:val="bullet"/>
      <w:lvlText w:val="o"/>
      <w:lvlJc w:val="left"/>
      <w:pPr>
        <w:ind w:left="726" w:hanging="360"/>
      </w:pPr>
      <w:rPr>
        <w:rFonts w:ascii="Courier New" w:hAnsi="Courier New" w:cs="Courier New" w:hint="default"/>
      </w:rPr>
    </w:lvl>
    <w:lvl w:ilvl="2" w:tplc="04150005" w:tentative="1">
      <w:start w:val="1"/>
      <w:numFmt w:val="bullet"/>
      <w:lvlText w:val=""/>
      <w:lvlJc w:val="left"/>
      <w:pPr>
        <w:ind w:left="1446" w:hanging="360"/>
      </w:pPr>
      <w:rPr>
        <w:rFonts w:ascii="Wingdings" w:hAnsi="Wingdings" w:hint="default"/>
      </w:rPr>
    </w:lvl>
    <w:lvl w:ilvl="3" w:tplc="04150001" w:tentative="1">
      <w:start w:val="1"/>
      <w:numFmt w:val="bullet"/>
      <w:lvlText w:val=""/>
      <w:lvlJc w:val="left"/>
      <w:pPr>
        <w:ind w:left="2166" w:hanging="360"/>
      </w:pPr>
      <w:rPr>
        <w:rFonts w:ascii="Symbol" w:hAnsi="Symbol" w:hint="default"/>
      </w:rPr>
    </w:lvl>
    <w:lvl w:ilvl="4" w:tplc="04150003" w:tentative="1">
      <w:start w:val="1"/>
      <w:numFmt w:val="bullet"/>
      <w:lvlText w:val="o"/>
      <w:lvlJc w:val="left"/>
      <w:pPr>
        <w:ind w:left="2886" w:hanging="360"/>
      </w:pPr>
      <w:rPr>
        <w:rFonts w:ascii="Courier New" w:hAnsi="Courier New" w:cs="Courier New" w:hint="default"/>
      </w:rPr>
    </w:lvl>
    <w:lvl w:ilvl="5" w:tplc="04150005" w:tentative="1">
      <w:start w:val="1"/>
      <w:numFmt w:val="bullet"/>
      <w:lvlText w:val=""/>
      <w:lvlJc w:val="left"/>
      <w:pPr>
        <w:ind w:left="3606" w:hanging="360"/>
      </w:pPr>
      <w:rPr>
        <w:rFonts w:ascii="Wingdings" w:hAnsi="Wingdings" w:hint="default"/>
      </w:rPr>
    </w:lvl>
    <w:lvl w:ilvl="6" w:tplc="04150001" w:tentative="1">
      <w:start w:val="1"/>
      <w:numFmt w:val="bullet"/>
      <w:lvlText w:val=""/>
      <w:lvlJc w:val="left"/>
      <w:pPr>
        <w:ind w:left="4326" w:hanging="360"/>
      </w:pPr>
      <w:rPr>
        <w:rFonts w:ascii="Symbol" w:hAnsi="Symbol" w:hint="default"/>
      </w:rPr>
    </w:lvl>
    <w:lvl w:ilvl="7" w:tplc="04150003" w:tentative="1">
      <w:start w:val="1"/>
      <w:numFmt w:val="bullet"/>
      <w:lvlText w:val="o"/>
      <w:lvlJc w:val="left"/>
      <w:pPr>
        <w:ind w:left="5046" w:hanging="360"/>
      </w:pPr>
      <w:rPr>
        <w:rFonts w:ascii="Courier New" w:hAnsi="Courier New" w:cs="Courier New" w:hint="default"/>
      </w:rPr>
    </w:lvl>
    <w:lvl w:ilvl="8" w:tplc="04150005" w:tentative="1">
      <w:start w:val="1"/>
      <w:numFmt w:val="bullet"/>
      <w:lvlText w:val=""/>
      <w:lvlJc w:val="left"/>
      <w:pPr>
        <w:ind w:left="5766" w:hanging="360"/>
      </w:pPr>
      <w:rPr>
        <w:rFonts w:ascii="Wingdings" w:hAnsi="Wingdings" w:hint="default"/>
      </w:rPr>
    </w:lvl>
  </w:abstractNum>
  <w:abstractNum w:abstractNumId="2">
    <w:nsid w:val="2BF470E2"/>
    <w:multiLevelType w:val="hybridMultilevel"/>
    <w:tmpl w:val="80A6CCE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2C394BD8"/>
    <w:multiLevelType w:val="hybridMultilevel"/>
    <w:tmpl w:val="CA26BBC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4934172A"/>
    <w:multiLevelType w:val="hybridMultilevel"/>
    <w:tmpl w:val="BF6C3B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9965137"/>
    <w:multiLevelType w:val="hybridMultilevel"/>
    <w:tmpl w:val="114289B8"/>
    <w:lvl w:ilvl="0" w:tplc="FF8E9B7A">
      <w:start w:val="1"/>
      <w:numFmt w:val="lowerLetter"/>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6">
    <w:nsid w:val="53D13F20"/>
    <w:multiLevelType w:val="hybridMultilevel"/>
    <w:tmpl w:val="DA8E2F8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683043DC"/>
    <w:multiLevelType w:val="hybridMultilevel"/>
    <w:tmpl w:val="0F3CC7C4"/>
    <w:lvl w:ilvl="0" w:tplc="78FCCEE0">
      <w:start w:val="19"/>
      <w:numFmt w:val="bullet"/>
      <w:lvlText w:val="-"/>
      <w:lvlJc w:val="left"/>
      <w:pPr>
        <w:ind w:left="720" w:hanging="360"/>
      </w:pPr>
      <w:rPr>
        <w:rFonts w:ascii="Calibri" w:eastAsiaTheme="minorHAnsi" w:hAnsi="Calibri"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6EC26913"/>
    <w:multiLevelType w:val="hybridMultilevel"/>
    <w:tmpl w:val="DA965C0A"/>
    <w:lvl w:ilvl="0" w:tplc="FFFFFFFF">
      <w:start w:val="1"/>
      <w:numFmt w:val="lowerLetter"/>
      <w:lvlText w:val="(%1)"/>
      <w:lvlJc w:val="left"/>
      <w:pPr>
        <w:tabs>
          <w:tab w:val="num" w:pos="706"/>
        </w:tabs>
        <w:ind w:left="706" w:hanging="360"/>
      </w:pPr>
      <w:rPr>
        <w:rFonts w:hint="default"/>
      </w:rPr>
    </w:lvl>
    <w:lvl w:ilvl="1" w:tplc="FFFFFFFF" w:tentative="1">
      <w:start w:val="1"/>
      <w:numFmt w:val="lowerLetter"/>
      <w:lvlText w:val="%2."/>
      <w:lvlJc w:val="left"/>
      <w:pPr>
        <w:tabs>
          <w:tab w:val="num" w:pos="1426"/>
        </w:tabs>
        <w:ind w:left="1426" w:hanging="360"/>
      </w:pPr>
    </w:lvl>
    <w:lvl w:ilvl="2" w:tplc="FFFFFFFF" w:tentative="1">
      <w:start w:val="1"/>
      <w:numFmt w:val="lowerRoman"/>
      <w:lvlText w:val="%3."/>
      <w:lvlJc w:val="right"/>
      <w:pPr>
        <w:tabs>
          <w:tab w:val="num" w:pos="2146"/>
        </w:tabs>
        <w:ind w:left="2146" w:hanging="180"/>
      </w:pPr>
    </w:lvl>
    <w:lvl w:ilvl="3" w:tplc="FFFFFFFF" w:tentative="1">
      <w:start w:val="1"/>
      <w:numFmt w:val="decimal"/>
      <w:lvlText w:val="%4."/>
      <w:lvlJc w:val="left"/>
      <w:pPr>
        <w:tabs>
          <w:tab w:val="num" w:pos="2866"/>
        </w:tabs>
        <w:ind w:left="2866" w:hanging="360"/>
      </w:pPr>
    </w:lvl>
    <w:lvl w:ilvl="4" w:tplc="FFFFFFFF" w:tentative="1">
      <w:start w:val="1"/>
      <w:numFmt w:val="lowerLetter"/>
      <w:lvlText w:val="%5."/>
      <w:lvlJc w:val="left"/>
      <w:pPr>
        <w:tabs>
          <w:tab w:val="num" w:pos="3586"/>
        </w:tabs>
        <w:ind w:left="3586" w:hanging="360"/>
      </w:pPr>
    </w:lvl>
    <w:lvl w:ilvl="5" w:tplc="FFFFFFFF" w:tentative="1">
      <w:start w:val="1"/>
      <w:numFmt w:val="lowerRoman"/>
      <w:lvlText w:val="%6."/>
      <w:lvlJc w:val="right"/>
      <w:pPr>
        <w:tabs>
          <w:tab w:val="num" w:pos="4306"/>
        </w:tabs>
        <w:ind w:left="4306" w:hanging="180"/>
      </w:pPr>
    </w:lvl>
    <w:lvl w:ilvl="6" w:tplc="FFFFFFFF" w:tentative="1">
      <w:start w:val="1"/>
      <w:numFmt w:val="decimal"/>
      <w:lvlText w:val="%7."/>
      <w:lvlJc w:val="left"/>
      <w:pPr>
        <w:tabs>
          <w:tab w:val="num" w:pos="5026"/>
        </w:tabs>
        <w:ind w:left="5026" w:hanging="360"/>
      </w:pPr>
    </w:lvl>
    <w:lvl w:ilvl="7" w:tplc="FFFFFFFF" w:tentative="1">
      <w:start w:val="1"/>
      <w:numFmt w:val="lowerLetter"/>
      <w:lvlText w:val="%8."/>
      <w:lvlJc w:val="left"/>
      <w:pPr>
        <w:tabs>
          <w:tab w:val="num" w:pos="5746"/>
        </w:tabs>
        <w:ind w:left="5746" w:hanging="360"/>
      </w:pPr>
    </w:lvl>
    <w:lvl w:ilvl="8" w:tplc="FFFFFFFF" w:tentative="1">
      <w:start w:val="1"/>
      <w:numFmt w:val="lowerRoman"/>
      <w:lvlText w:val="%9."/>
      <w:lvlJc w:val="right"/>
      <w:pPr>
        <w:tabs>
          <w:tab w:val="num" w:pos="6466"/>
        </w:tabs>
        <w:ind w:left="6466" w:hanging="180"/>
      </w:pPr>
    </w:lvl>
  </w:abstractNum>
  <w:num w:numId="1">
    <w:abstractNumId w:val="8"/>
  </w:num>
  <w:num w:numId="2">
    <w:abstractNumId w:val="7"/>
  </w:num>
  <w:num w:numId="3">
    <w:abstractNumId w:val="0"/>
  </w:num>
  <w:num w:numId="4">
    <w:abstractNumId w:val="4"/>
  </w:num>
  <w:num w:numId="5">
    <w:abstractNumId w:val="1"/>
  </w:num>
  <w:num w:numId="6">
    <w:abstractNumId w:val="5"/>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82"/>
    <w:rsid w:val="0000012A"/>
    <w:rsid w:val="000001E6"/>
    <w:rsid w:val="00016C7D"/>
    <w:rsid w:val="0002237B"/>
    <w:rsid w:val="000223BF"/>
    <w:rsid w:val="000561FA"/>
    <w:rsid w:val="00061ADB"/>
    <w:rsid w:val="00075AD1"/>
    <w:rsid w:val="00085274"/>
    <w:rsid w:val="00103B03"/>
    <w:rsid w:val="001041E2"/>
    <w:rsid w:val="0010668A"/>
    <w:rsid w:val="00114008"/>
    <w:rsid w:val="0011458C"/>
    <w:rsid w:val="001223F1"/>
    <w:rsid w:val="0012536C"/>
    <w:rsid w:val="00134773"/>
    <w:rsid w:val="001455AD"/>
    <w:rsid w:val="00150A1E"/>
    <w:rsid w:val="00155353"/>
    <w:rsid w:val="00167043"/>
    <w:rsid w:val="001706A3"/>
    <w:rsid w:val="00177D15"/>
    <w:rsid w:val="00186210"/>
    <w:rsid w:val="00186C51"/>
    <w:rsid w:val="00195122"/>
    <w:rsid w:val="001B196A"/>
    <w:rsid w:val="001C568E"/>
    <w:rsid w:val="001E4FE3"/>
    <w:rsid w:val="001F43A0"/>
    <w:rsid w:val="001F5238"/>
    <w:rsid w:val="001F5C7C"/>
    <w:rsid w:val="00205D82"/>
    <w:rsid w:val="00223D9E"/>
    <w:rsid w:val="002409A3"/>
    <w:rsid w:val="00244544"/>
    <w:rsid w:val="002455B0"/>
    <w:rsid w:val="00250EC3"/>
    <w:rsid w:val="00293527"/>
    <w:rsid w:val="002940F5"/>
    <w:rsid w:val="002A1F04"/>
    <w:rsid w:val="002A5575"/>
    <w:rsid w:val="002C2B7D"/>
    <w:rsid w:val="002C3E45"/>
    <w:rsid w:val="002C74B4"/>
    <w:rsid w:val="002E4990"/>
    <w:rsid w:val="002F30E8"/>
    <w:rsid w:val="002F6ABC"/>
    <w:rsid w:val="00307DC7"/>
    <w:rsid w:val="003314D8"/>
    <w:rsid w:val="00335AE0"/>
    <w:rsid w:val="00345F5C"/>
    <w:rsid w:val="00351C0C"/>
    <w:rsid w:val="0036428B"/>
    <w:rsid w:val="003822CB"/>
    <w:rsid w:val="00395FBB"/>
    <w:rsid w:val="003C3302"/>
    <w:rsid w:val="003D603D"/>
    <w:rsid w:val="003D7EB1"/>
    <w:rsid w:val="003E1092"/>
    <w:rsid w:val="003E626A"/>
    <w:rsid w:val="003F1809"/>
    <w:rsid w:val="00402EBB"/>
    <w:rsid w:val="004030C3"/>
    <w:rsid w:val="004118CF"/>
    <w:rsid w:val="00412122"/>
    <w:rsid w:val="00420BE3"/>
    <w:rsid w:val="00425E27"/>
    <w:rsid w:val="00456F80"/>
    <w:rsid w:val="004650D6"/>
    <w:rsid w:val="00487A3C"/>
    <w:rsid w:val="004939F2"/>
    <w:rsid w:val="00493FB2"/>
    <w:rsid w:val="004A2912"/>
    <w:rsid w:val="004A58FA"/>
    <w:rsid w:val="004B0F91"/>
    <w:rsid w:val="004B1C5A"/>
    <w:rsid w:val="004E002D"/>
    <w:rsid w:val="004E3D15"/>
    <w:rsid w:val="0050135E"/>
    <w:rsid w:val="0050252E"/>
    <w:rsid w:val="00502BC5"/>
    <w:rsid w:val="005032FD"/>
    <w:rsid w:val="00507582"/>
    <w:rsid w:val="00520907"/>
    <w:rsid w:val="00532644"/>
    <w:rsid w:val="0059390B"/>
    <w:rsid w:val="005A5A57"/>
    <w:rsid w:val="005A63B1"/>
    <w:rsid w:val="005D0B6F"/>
    <w:rsid w:val="005D2900"/>
    <w:rsid w:val="005F2A07"/>
    <w:rsid w:val="006011B8"/>
    <w:rsid w:val="006041DC"/>
    <w:rsid w:val="006200C6"/>
    <w:rsid w:val="00624966"/>
    <w:rsid w:val="006559F3"/>
    <w:rsid w:val="0067165F"/>
    <w:rsid w:val="00676083"/>
    <w:rsid w:val="006C2F17"/>
    <w:rsid w:val="006D3A6B"/>
    <w:rsid w:val="006D752C"/>
    <w:rsid w:val="006E3BFE"/>
    <w:rsid w:val="006F3164"/>
    <w:rsid w:val="00720199"/>
    <w:rsid w:val="00722784"/>
    <w:rsid w:val="00731FE0"/>
    <w:rsid w:val="00740BA1"/>
    <w:rsid w:val="00761A35"/>
    <w:rsid w:val="00775A7D"/>
    <w:rsid w:val="00780A99"/>
    <w:rsid w:val="0078425D"/>
    <w:rsid w:val="007A1D91"/>
    <w:rsid w:val="007D2951"/>
    <w:rsid w:val="007D6BD9"/>
    <w:rsid w:val="007E4944"/>
    <w:rsid w:val="007F285F"/>
    <w:rsid w:val="00803759"/>
    <w:rsid w:val="0081648A"/>
    <w:rsid w:val="00847478"/>
    <w:rsid w:val="0085324C"/>
    <w:rsid w:val="00857C01"/>
    <w:rsid w:val="00860D8D"/>
    <w:rsid w:val="00872A4C"/>
    <w:rsid w:val="00884494"/>
    <w:rsid w:val="00887D32"/>
    <w:rsid w:val="008929D1"/>
    <w:rsid w:val="008A3867"/>
    <w:rsid w:val="008A7B8E"/>
    <w:rsid w:val="00900877"/>
    <w:rsid w:val="00906EA6"/>
    <w:rsid w:val="00931857"/>
    <w:rsid w:val="00934603"/>
    <w:rsid w:val="00936B84"/>
    <w:rsid w:val="00947ED5"/>
    <w:rsid w:val="00970083"/>
    <w:rsid w:val="009724E0"/>
    <w:rsid w:val="00975E1B"/>
    <w:rsid w:val="00986D8D"/>
    <w:rsid w:val="009871F1"/>
    <w:rsid w:val="00990C19"/>
    <w:rsid w:val="00993987"/>
    <w:rsid w:val="009C0AEE"/>
    <w:rsid w:val="009F0EBE"/>
    <w:rsid w:val="00A03669"/>
    <w:rsid w:val="00A0767F"/>
    <w:rsid w:val="00A51083"/>
    <w:rsid w:val="00A701AD"/>
    <w:rsid w:val="00A83072"/>
    <w:rsid w:val="00A85F08"/>
    <w:rsid w:val="00A86BF9"/>
    <w:rsid w:val="00A91DF3"/>
    <w:rsid w:val="00AB1CE8"/>
    <w:rsid w:val="00AB318C"/>
    <w:rsid w:val="00AB49BB"/>
    <w:rsid w:val="00AC28D2"/>
    <w:rsid w:val="00AC368D"/>
    <w:rsid w:val="00AD4548"/>
    <w:rsid w:val="00AE2699"/>
    <w:rsid w:val="00AE593B"/>
    <w:rsid w:val="00B05ED7"/>
    <w:rsid w:val="00B108F7"/>
    <w:rsid w:val="00B1382D"/>
    <w:rsid w:val="00B26372"/>
    <w:rsid w:val="00B45044"/>
    <w:rsid w:val="00B72CBD"/>
    <w:rsid w:val="00B73148"/>
    <w:rsid w:val="00B8050E"/>
    <w:rsid w:val="00B86E45"/>
    <w:rsid w:val="00B90961"/>
    <w:rsid w:val="00BB5F64"/>
    <w:rsid w:val="00BD0808"/>
    <w:rsid w:val="00BE173D"/>
    <w:rsid w:val="00BF2519"/>
    <w:rsid w:val="00BF71BA"/>
    <w:rsid w:val="00C22546"/>
    <w:rsid w:val="00C2684A"/>
    <w:rsid w:val="00C46B4F"/>
    <w:rsid w:val="00C73AFF"/>
    <w:rsid w:val="00C772F6"/>
    <w:rsid w:val="00C820A8"/>
    <w:rsid w:val="00C8325E"/>
    <w:rsid w:val="00C9206B"/>
    <w:rsid w:val="00C93B25"/>
    <w:rsid w:val="00C96785"/>
    <w:rsid w:val="00CB0F1D"/>
    <w:rsid w:val="00CC208F"/>
    <w:rsid w:val="00CD1A7C"/>
    <w:rsid w:val="00CD4BA7"/>
    <w:rsid w:val="00D135AA"/>
    <w:rsid w:val="00D23580"/>
    <w:rsid w:val="00D2654F"/>
    <w:rsid w:val="00D31895"/>
    <w:rsid w:val="00D4640E"/>
    <w:rsid w:val="00D61D1C"/>
    <w:rsid w:val="00D641F3"/>
    <w:rsid w:val="00D72272"/>
    <w:rsid w:val="00D919B2"/>
    <w:rsid w:val="00DA617B"/>
    <w:rsid w:val="00DA6DA7"/>
    <w:rsid w:val="00DC35B4"/>
    <w:rsid w:val="00DC4066"/>
    <w:rsid w:val="00DF35BA"/>
    <w:rsid w:val="00E142A3"/>
    <w:rsid w:val="00E162D3"/>
    <w:rsid w:val="00E16E05"/>
    <w:rsid w:val="00E3001B"/>
    <w:rsid w:val="00E3206D"/>
    <w:rsid w:val="00E45C3A"/>
    <w:rsid w:val="00E53EA6"/>
    <w:rsid w:val="00E626E8"/>
    <w:rsid w:val="00E62C26"/>
    <w:rsid w:val="00E82996"/>
    <w:rsid w:val="00EA6F1E"/>
    <w:rsid w:val="00EC55DA"/>
    <w:rsid w:val="00F17EB4"/>
    <w:rsid w:val="00F271D5"/>
    <w:rsid w:val="00F429F0"/>
    <w:rsid w:val="00F47B18"/>
    <w:rsid w:val="00F56597"/>
    <w:rsid w:val="00F679BD"/>
    <w:rsid w:val="00F85F7A"/>
    <w:rsid w:val="00F9177B"/>
    <w:rsid w:val="00F936E3"/>
    <w:rsid w:val="00F93A7A"/>
    <w:rsid w:val="00FA1490"/>
    <w:rsid w:val="00FA1D0B"/>
    <w:rsid w:val="00FD686C"/>
    <w:rsid w:val="00FF3A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dfc50a6a">
    <w:name w:val="sdfc50a6a"/>
    <w:basedOn w:val="Domylnaczcionkaakapitu"/>
    <w:rsid w:val="00A0767F"/>
  </w:style>
  <w:style w:type="character" w:styleId="Hipercze">
    <w:name w:val="Hyperlink"/>
    <w:basedOn w:val="Domylnaczcionkaakapitu"/>
    <w:uiPriority w:val="99"/>
    <w:unhideWhenUsed/>
    <w:rsid w:val="00F271D5"/>
    <w:rPr>
      <w:color w:val="0000FF" w:themeColor="hyperlink"/>
      <w:u w:val="single"/>
    </w:rPr>
  </w:style>
  <w:style w:type="character" w:customStyle="1" w:styleId="sb8d990e2">
    <w:name w:val="sb8d990e2"/>
    <w:basedOn w:val="Domylnaczcionkaakapitu"/>
    <w:rsid w:val="00F271D5"/>
  </w:style>
  <w:style w:type="paragraph" w:customStyle="1" w:styleId="JuParaLast">
    <w:name w:val="Ju_Para_Last"/>
    <w:basedOn w:val="Normalny"/>
    <w:next w:val="Normalny"/>
    <w:rsid w:val="0000012A"/>
    <w:pPr>
      <w:suppressAutoHyphens/>
      <w:spacing w:before="240" w:after="0" w:line="240" w:lineRule="auto"/>
      <w:ind w:firstLine="284"/>
      <w:jc w:val="both"/>
    </w:pPr>
    <w:rPr>
      <w:rFonts w:ascii="Times New Roman" w:eastAsia="Times New Roman" w:hAnsi="Times New Roman" w:cs="Times New Roman"/>
      <w:sz w:val="24"/>
      <w:szCs w:val="20"/>
      <w:lang w:eastAsia="fr-FR"/>
    </w:rPr>
  </w:style>
  <w:style w:type="paragraph" w:customStyle="1" w:styleId="JuList">
    <w:name w:val="Ju_List"/>
    <w:basedOn w:val="Normalny"/>
    <w:rsid w:val="005A63B1"/>
    <w:pPr>
      <w:suppressAutoHyphens/>
      <w:spacing w:after="0" w:line="240" w:lineRule="auto"/>
      <w:ind w:left="340" w:hanging="340"/>
      <w:jc w:val="both"/>
    </w:pPr>
    <w:rPr>
      <w:rFonts w:ascii="Times New Roman" w:eastAsia="Times New Roman" w:hAnsi="Times New Roman" w:cs="Times New Roman"/>
      <w:sz w:val="24"/>
      <w:szCs w:val="20"/>
      <w:lang w:eastAsia="fr-FR"/>
    </w:rPr>
  </w:style>
  <w:style w:type="paragraph" w:customStyle="1" w:styleId="JuLista">
    <w:name w:val="Ju_List_a"/>
    <w:basedOn w:val="JuList"/>
    <w:rsid w:val="005A63B1"/>
    <w:pPr>
      <w:ind w:left="346" w:firstLine="0"/>
    </w:pPr>
  </w:style>
  <w:style w:type="paragraph" w:customStyle="1" w:styleId="JuListi">
    <w:name w:val="Ju_List_i"/>
    <w:basedOn w:val="JuLista"/>
    <w:rsid w:val="005A63B1"/>
    <w:pPr>
      <w:ind w:left="794"/>
    </w:pPr>
  </w:style>
  <w:style w:type="paragraph" w:customStyle="1" w:styleId="JuPara">
    <w:name w:val="Ju_Para"/>
    <w:aliases w:val="Left,First line:  0 cm,ECHR_Para"/>
    <w:basedOn w:val="Normalny"/>
    <w:link w:val="JuParaCar"/>
    <w:qFormat/>
    <w:rsid w:val="002E4990"/>
    <w:pPr>
      <w:suppressAutoHyphens/>
      <w:spacing w:after="0" w:line="240" w:lineRule="auto"/>
      <w:ind w:firstLine="284"/>
      <w:jc w:val="both"/>
    </w:pPr>
    <w:rPr>
      <w:rFonts w:ascii="Times New Roman" w:eastAsia="Times New Roman" w:hAnsi="Times New Roman" w:cs="Times New Roman"/>
      <w:sz w:val="24"/>
      <w:szCs w:val="20"/>
      <w:lang w:eastAsia="fr-FR"/>
    </w:rPr>
  </w:style>
  <w:style w:type="character" w:customStyle="1" w:styleId="JuParaCar">
    <w:name w:val="Ju_Para Car"/>
    <w:basedOn w:val="Domylnaczcionkaakapitu"/>
    <w:link w:val="JuPara"/>
    <w:rsid w:val="002E4990"/>
    <w:rPr>
      <w:rFonts w:ascii="Times New Roman" w:eastAsia="Times New Roman" w:hAnsi="Times New Roman" w:cs="Times New Roman"/>
      <w:sz w:val="24"/>
      <w:szCs w:val="20"/>
      <w:lang w:eastAsia="fr-FR"/>
    </w:rPr>
  </w:style>
  <w:style w:type="paragraph" w:styleId="Tekstprzypisukocowego">
    <w:name w:val="endnote text"/>
    <w:basedOn w:val="Normalny"/>
    <w:link w:val="TekstprzypisukocowegoZnak"/>
    <w:uiPriority w:val="99"/>
    <w:semiHidden/>
    <w:unhideWhenUsed/>
    <w:rsid w:val="0019512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5122"/>
    <w:rPr>
      <w:sz w:val="20"/>
      <w:szCs w:val="20"/>
    </w:rPr>
  </w:style>
  <w:style w:type="character" w:styleId="Odwoanieprzypisukocowego">
    <w:name w:val="endnote reference"/>
    <w:basedOn w:val="Domylnaczcionkaakapitu"/>
    <w:uiPriority w:val="99"/>
    <w:semiHidden/>
    <w:unhideWhenUsed/>
    <w:rsid w:val="00195122"/>
    <w:rPr>
      <w:vertAlign w:val="superscript"/>
    </w:rPr>
  </w:style>
  <w:style w:type="paragraph" w:styleId="Tekstdymka">
    <w:name w:val="Balloon Text"/>
    <w:basedOn w:val="Normalny"/>
    <w:link w:val="TekstdymkaZnak"/>
    <w:uiPriority w:val="99"/>
    <w:semiHidden/>
    <w:unhideWhenUsed/>
    <w:rsid w:val="00B909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0961"/>
    <w:rPr>
      <w:rFonts w:ascii="Tahoma" w:hAnsi="Tahoma" w:cs="Tahoma"/>
      <w:sz w:val="16"/>
      <w:szCs w:val="16"/>
    </w:rPr>
  </w:style>
  <w:style w:type="character" w:customStyle="1" w:styleId="JuParaChar">
    <w:name w:val="Ju_Para Char"/>
    <w:locked/>
    <w:rsid w:val="008A7B8E"/>
    <w:rPr>
      <w:sz w:val="24"/>
      <w:szCs w:val="24"/>
      <w:lang w:val="en-GB" w:eastAsia="fr-FR"/>
    </w:rPr>
  </w:style>
  <w:style w:type="paragraph" w:styleId="Poprawka">
    <w:name w:val="Revision"/>
    <w:hidden/>
    <w:uiPriority w:val="99"/>
    <w:semiHidden/>
    <w:rsid w:val="008A7B8E"/>
    <w:pPr>
      <w:spacing w:after="0" w:line="240" w:lineRule="auto"/>
    </w:pPr>
  </w:style>
  <w:style w:type="paragraph" w:styleId="Akapitzlist">
    <w:name w:val="List Paragraph"/>
    <w:basedOn w:val="Normalny"/>
    <w:uiPriority w:val="34"/>
    <w:qFormat/>
    <w:rsid w:val="00307DC7"/>
    <w:pPr>
      <w:ind w:left="720"/>
      <w:contextualSpacing/>
    </w:pPr>
    <w:rPr>
      <w:lang w:val="pl-PL"/>
    </w:rPr>
  </w:style>
  <w:style w:type="character" w:customStyle="1" w:styleId="JuJudgesChar">
    <w:name w:val="Ju_Judges Char"/>
    <w:link w:val="ECHRDecisionBody"/>
    <w:uiPriority w:val="11"/>
    <w:locked/>
    <w:rsid w:val="00900877"/>
    <w:rPr>
      <w:rFonts w:ascii="Times New Roman" w:eastAsiaTheme="minorEastAsia" w:hAnsi="Times New Roman" w:cs="Times New Roman"/>
      <w:sz w:val="24"/>
      <w:lang w:val="en-US"/>
    </w:rPr>
  </w:style>
  <w:style w:type="paragraph" w:customStyle="1" w:styleId="ECHRDecisionBody">
    <w:name w:val="ECHR_Decision_Body"/>
    <w:aliases w:val="Ju_Judges"/>
    <w:basedOn w:val="Normalny"/>
    <w:link w:val="JuJudgesChar"/>
    <w:uiPriority w:val="11"/>
    <w:qFormat/>
    <w:rsid w:val="00900877"/>
    <w:pPr>
      <w:tabs>
        <w:tab w:val="left" w:pos="567"/>
        <w:tab w:val="left" w:pos="1134"/>
      </w:tabs>
      <w:spacing w:after="0" w:line="240" w:lineRule="auto"/>
    </w:pPr>
    <w:rPr>
      <w:rFonts w:ascii="Times New Roman" w:eastAsiaTheme="minorEastAsia" w:hAnsi="Times New Roman" w:cs="Times New Roman"/>
      <w:sz w:val="24"/>
      <w:lang w:val="en-US"/>
    </w:rPr>
  </w:style>
  <w:style w:type="character" w:styleId="UyteHipercze">
    <w:name w:val="FollowedHyperlink"/>
    <w:basedOn w:val="Domylnaczcionkaakapitu"/>
    <w:uiPriority w:val="99"/>
    <w:semiHidden/>
    <w:unhideWhenUsed/>
    <w:rsid w:val="0078425D"/>
    <w:rPr>
      <w:color w:val="800080" w:themeColor="followedHyperlink"/>
      <w:u w:val="single"/>
    </w:rPr>
  </w:style>
  <w:style w:type="paragraph" w:styleId="Nagwek">
    <w:name w:val="header"/>
    <w:basedOn w:val="Normalny"/>
    <w:link w:val="NagwekZnak"/>
    <w:uiPriority w:val="99"/>
    <w:unhideWhenUsed/>
    <w:rsid w:val="001347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4773"/>
  </w:style>
  <w:style w:type="paragraph" w:styleId="Stopka">
    <w:name w:val="footer"/>
    <w:basedOn w:val="Normalny"/>
    <w:link w:val="StopkaZnak"/>
    <w:uiPriority w:val="99"/>
    <w:unhideWhenUsed/>
    <w:rsid w:val="001347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4773"/>
  </w:style>
  <w:style w:type="character" w:styleId="Odwoaniedokomentarza">
    <w:name w:val="annotation reference"/>
    <w:basedOn w:val="Domylnaczcionkaakapitu"/>
    <w:uiPriority w:val="99"/>
    <w:semiHidden/>
    <w:unhideWhenUsed/>
    <w:rsid w:val="00D4640E"/>
    <w:rPr>
      <w:sz w:val="16"/>
      <w:szCs w:val="16"/>
    </w:rPr>
  </w:style>
  <w:style w:type="paragraph" w:styleId="Tekstkomentarza">
    <w:name w:val="annotation text"/>
    <w:basedOn w:val="Normalny"/>
    <w:link w:val="TekstkomentarzaZnak"/>
    <w:uiPriority w:val="99"/>
    <w:semiHidden/>
    <w:unhideWhenUsed/>
    <w:rsid w:val="00D4640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640E"/>
    <w:rPr>
      <w:sz w:val="20"/>
      <w:szCs w:val="20"/>
    </w:rPr>
  </w:style>
  <w:style w:type="paragraph" w:styleId="Tematkomentarza">
    <w:name w:val="annotation subject"/>
    <w:basedOn w:val="Tekstkomentarza"/>
    <w:next w:val="Tekstkomentarza"/>
    <w:link w:val="TematkomentarzaZnak"/>
    <w:uiPriority w:val="99"/>
    <w:semiHidden/>
    <w:unhideWhenUsed/>
    <w:rsid w:val="00D4640E"/>
    <w:rPr>
      <w:b/>
      <w:bCs/>
    </w:rPr>
  </w:style>
  <w:style w:type="character" w:customStyle="1" w:styleId="TematkomentarzaZnak">
    <w:name w:val="Temat komentarza Znak"/>
    <w:basedOn w:val="TekstkomentarzaZnak"/>
    <w:link w:val="Tematkomentarza"/>
    <w:uiPriority w:val="99"/>
    <w:semiHidden/>
    <w:rsid w:val="00D4640E"/>
    <w:rPr>
      <w:b/>
      <w:bCs/>
      <w:sz w:val="20"/>
      <w:szCs w:val="20"/>
    </w:rPr>
  </w:style>
  <w:style w:type="paragraph" w:styleId="Tekstpodstawowy3">
    <w:name w:val="Body Text 3"/>
    <w:basedOn w:val="Normalny"/>
    <w:link w:val="Tekstpodstawowy3Znak"/>
    <w:rsid w:val="00C820A8"/>
    <w:pPr>
      <w:spacing w:after="0" w:line="240" w:lineRule="auto"/>
      <w:jc w:val="both"/>
    </w:pPr>
    <w:rPr>
      <w:rFonts w:ascii="Times New Roman" w:eastAsia="Times New Roman" w:hAnsi="Times New Roman" w:cs="Times New Roman"/>
      <w:b/>
      <w:sz w:val="24"/>
      <w:szCs w:val="20"/>
      <w:lang w:val="en-US" w:eastAsia="zh-CN"/>
    </w:rPr>
  </w:style>
  <w:style w:type="character" w:customStyle="1" w:styleId="Tekstpodstawowy3Znak">
    <w:name w:val="Tekst podstawowy 3 Znak"/>
    <w:basedOn w:val="Domylnaczcionkaakapitu"/>
    <w:link w:val="Tekstpodstawowy3"/>
    <w:rsid w:val="00C820A8"/>
    <w:rPr>
      <w:rFonts w:ascii="Times New Roman" w:eastAsia="Times New Roman" w:hAnsi="Times New Roman" w:cs="Times New Roman"/>
      <w:b/>
      <w:sz w:val="24"/>
      <w:szCs w:val="20"/>
      <w:lang w:val="en-US" w:eastAsia="zh-CN"/>
    </w:rPr>
  </w:style>
  <w:style w:type="paragraph" w:customStyle="1" w:styleId="s52b9fb1c">
    <w:name w:val="s52b9fb1c"/>
    <w:basedOn w:val="Normalny"/>
    <w:rsid w:val="00A83072"/>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s6b621b36">
    <w:name w:val="s6b621b36"/>
    <w:basedOn w:val="Domylnaczcionkaakapitu"/>
    <w:rsid w:val="00A83072"/>
  </w:style>
  <w:style w:type="paragraph" w:customStyle="1" w:styleId="s6c21291f">
    <w:name w:val="s6c21291f"/>
    <w:basedOn w:val="Normalny"/>
    <w:rsid w:val="00A83072"/>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s21d618bf">
    <w:name w:val="s21d618bf"/>
    <w:basedOn w:val="Normalny"/>
    <w:rsid w:val="00A83072"/>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styleId="Tekstprzypisudolnego">
    <w:name w:val="footnote text"/>
    <w:basedOn w:val="Normalny"/>
    <w:link w:val="TekstprzypisudolnegoZnak"/>
    <w:uiPriority w:val="99"/>
    <w:semiHidden/>
    <w:unhideWhenUsed/>
    <w:rsid w:val="00177D1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77D15"/>
    <w:rPr>
      <w:sz w:val="20"/>
      <w:szCs w:val="20"/>
    </w:rPr>
  </w:style>
  <w:style w:type="character" w:styleId="Odwoanieprzypisudolnego">
    <w:name w:val="footnote reference"/>
    <w:basedOn w:val="Domylnaczcionkaakapitu"/>
    <w:uiPriority w:val="99"/>
    <w:semiHidden/>
    <w:unhideWhenUsed/>
    <w:rsid w:val="00177D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dfc50a6a">
    <w:name w:val="sdfc50a6a"/>
    <w:basedOn w:val="Domylnaczcionkaakapitu"/>
    <w:rsid w:val="00A0767F"/>
  </w:style>
  <w:style w:type="character" w:styleId="Hipercze">
    <w:name w:val="Hyperlink"/>
    <w:basedOn w:val="Domylnaczcionkaakapitu"/>
    <w:uiPriority w:val="99"/>
    <w:unhideWhenUsed/>
    <w:rsid w:val="00F271D5"/>
    <w:rPr>
      <w:color w:val="0000FF" w:themeColor="hyperlink"/>
      <w:u w:val="single"/>
    </w:rPr>
  </w:style>
  <w:style w:type="character" w:customStyle="1" w:styleId="sb8d990e2">
    <w:name w:val="sb8d990e2"/>
    <w:basedOn w:val="Domylnaczcionkaakapitu"/>
    <w:rsid w:val="00F271D5"/>
  </w:style>
  <w:style w:type="paragraph" w:customStyle="1" w:styleId="JuParaLast">
    <w:name w:val="Ju_Para_Last"/>
    <w:basedOn w:val="Normalny"/>
    <w:next w:val="Normalny"/>
    <w:rsid w:val="0000012A"/>
    <w:pPr>
      <w:suppressAutoHyphens/>
      <w:spacing w:before="240" w:after="0" w:line="240" w:lineRule="auto"/>
      <w:ind w:firstLine="284"/>
      <w:jc w:val="both"/>
    </w:pPr>
    <w:rPr>
      <w:rFonts w:ascii="Times New Roman" w:eastAsia="Times New Roman" w:hAnsi="Times New Roman" w:cs="Times New Roman"/>
      <w:sz w:val="24"/>
      <w:szCs w:val="20"/>
      <w:lang w:eastAsia="fr-FR"/>
    </w:rPr>
  </w:style>
  <w:style w:type="paragraph" w:customStyle="1" w:styleId="JuList">
    <w:name w:val="Ju_List"/>
    <w:basedOn w:val="Normalny"/>
    <w:rsid w:val="005A63B1"/>
    <w:pPr>
      <w:suppressAutoHyphens/>
      <w:spacing w:after="0" w:line="240" w:lineRule="auto"/>
      <w:ind w:left="340" w:hanging="340"/>
      <w:jc w:val="both"/>
    </w:pPr>
    <w:rPr>
      <w:rFonts w:ascii="Times New Roman" w:eastAsia="Times New Roman" w:hAnsi="Times New Roman" w:cs="Times New Roman"/>
      <w:sz w:val="24"/>
      <w:szCs w:val="20"/>
      <w:lang w:eastAsia="fr-FR"/>
    </w:rPr>
  </w:style>
  <w:style w:type="paragraph" w:customStyle="1" w:styleId="JuLista">
    <w:name w:val="Ju_List_a"/>
    <w:basedOn w:val="JuList"/>
    <w:rsid w:val="005A63B1"/>
    <w:pPr>
      <w:ind w:left="346" w:firstLine="0"/>
    </w:pPr>
  </w:style>
  <w:style w:type="paragraph" w:customStyle="1" w:styleId="JuListi">
    <w:name w:val="Ju_List_i"/>
    <w:basedOn w:val="JuLista"/>
    <w:rsid w:val="005A63B1"/>
    <w:pPr>
      <w:ind w:left="794"/>
    </w:pPr>
  </w:style>
  <w:style w:type="paragraph" w:customStyle="1" w:styleId="JuPara">
    <w:name w:val="Ju_Para"/>
    <w:aliases w:val="Left,First line:  0 cm,ECHR_Para"/>
    <w:basedOn w:val="Normalny"/>
    <w:link w:val="JuParaCar"/>
    <w:qFormat/>
    <w:rsid w:val="002E4990"/>
    <w:pPr>
      <w:suppressAutoHyphens/>
      <w:spacing w:after="0" w:line="240" w:lineRule="auto"/>
      <w:ind w:firstLine="284"/>
      <w:jc w:val="both"/>
    </w:pPr>
    <w:rPr>
      <w:rFonts w:ascii="Times New Roman" w:eastAsia="Times New Roman" w:hAnsi="Times New Roman" w:cs="Times New Roman"/>
      <w:sz w:val="24"/>
      <w:szCs w:val="20"/>
      <w:lang w:eastAsia="fr-FR"/>
    </w:rPr>
  </w:style>
  <w:style w:type="character" w:customStyle="1" w:styleId="JuParaCar">
    <w:name w:val="Ju_Para Car"/>
    <w:basedOn w:val="Domylnaczcionkaakapitu"/>
    <w:link w:val="JuPara"/>
    <w:rsid w:val="002E4990"/>
    <w:rPr>
      <w:rFonts w:ascii="Times New Roman" w:eastAsia="Times New Roman" w:hAnsi="Times New Roman" w:cs="Times New Roman"/>
      <w:sz w:val="24"/>
      <w:szCs w:val="20"/>
      <w:lang w:eastAsia="fr-FR"/>
    </w:rPr>
  </w:style>
  <w:style w:type="paragraph" w:styleId="Tekstprzypisukocowego">
    <w:name w:val="endnote text"/>
    <w:basedOn w:val="Normalny"/>
    <w:link w:val="TekstprzypisukocowegoZnak"/>
    <w:uiPriority w:val="99"/>
    <w:semiHidden/>
    <w:unhideWhenUsed/>
    <w:rsid w:val="0019512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5122"/>
    <w:rPr>
      <w:sz w:val="20"/>
      <w:szCs w:val="20"/>
    </w:rPr>
  </w:style>
  <w:style w:type="character" w:styleId="Odwoanieprzypisukocowego">
    <w:name w:val="endnote reference"/>
    <w:basedOn w:val="Domylnaczcionkaakapitu"/>
    <w:uiPriority w:val="99"/>
    <w:semiHidden/>
    <w:unhideWhenUsed/>
    <w:rsid w:val="00195122"/>
    <w:rPr>
      <w:vertAlign w:val="superscript"/>
    </w:rPr>
  </w:style>
  <w:style w:type="paragraph" w:styleId="Tekstdymka">
    <w:name w:val="Balloon Text"/>
    <w:basedOn w:val="Normalny"/>
    <w:link w:val="TekstdymkaZnak"/>
    <w:uiPriority w:val="99"/>
    <w:semiHidden/>
    <w:unhideWhenUsed/>
    <w:rsid w:val="00B909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0961"/>
    <w:rPr>
      <w:rFonts w:ascii="Tahoma" w:hAnsi="Tahoma" w:cs="Tahoma"/>
      <w:sz w:val="16"/>
      <w:szCs w:val="16"/>
    </w:rPr>
  </w:style>
  <w:style w:type="character" w:customStyle="1" w:styleId="JuParaChar">
    <w:name w:val="Ju_Para Char"/>
    <w:locked/>
    <w:rsid w:val="008A7B8E"/>
    <w:rPr>
      <w:sz w:val="24"/>
      <w:szCs w:val="24"/>
      <w:lang w:val="en-GB" w:eastAsia="fr-FR"/>
    </w:rPr>
  </w:style>
  <w:style w:type="paragraph" w:styleId="Poprawka">
    <w:name w:val="Revision"/>
    <w:hidden/>
    <w:uiPriority w:val="99"/>
    <w:semiHidden/>
    <w:rsid w:val="008A7B8E"/>
    <w:pPr>
      <w:spacing w:after="0" w:line="240" w:lineRule="auto"/>
    </w:pPr>
  </w:style>
  <w:style w:type="paragraph" w:styleId="Akapitzlist">
    <w:name w:val="List Paragraph"/>
    <w:basedOn w:val="Normalny"/>
    <w:uiPriority w:val="34"/>
    <w:qFormat/>
    <w:rsid w:val="00307DC7"/>
    <w:pPr>
      <w:ind w:left="720"/>
      <w:contextualSpacing/>
    </w:pPr>
    <w:rPr>
      <w:lang w:val="pl-PL"/>
    </w:rPr>
  </w:style>
  <w:style w:type="character" w:customStyle="1" w:styleId="JuJudgesChar">
    <w:name w:val="Ju_Judges Char"/>
    <w:link w:val="ECHRDecisionBody"/>
    <w:uiPriority w:val="11"/>
    <w:locked/>
    <w:rsid w:val="00900877"/>
    <w:rPr>
      <w:rFonts w:ascii="Times New Roman" w:eastAsiaTheme="minorEastAsia" w:hAnsi="Times New Roman" w:cs="Times New Roman"/>
      <w:sz w:val="24"/>
      <w:lang w:val="en-US"/>
    </w:rPr>
  </w:style>
  <w:style w:type="paragraph" w:customStyle="1" w:styleId="ECHRDecisionBody">
    <w:name w:val="ECHR_Decision_Body"/>
    <w:aliases w:val="Ju_Judges"/>
    <w:basedOn w:val="Normalny"/>
    <w:link w:val="JuJudgesChar"/>
    <w:uiPriority w:val="11"/>
    <w:qFormat/>
    <w:rsid w:val="00900877"/>
    <w:pPr>
      <w:tabs>
        <w:tab w:val="left" w:pos="567"/>
        <w:tab w:val="left" w:pos="1134"/>
      </w:tabs>
      <w:spacing w:after="0" w:line="240" w:lineRule="auto"/>
    </w:pPr>
    <w:rPr>
      <w:rFonts w:ascii="Times New Roman" w:eastAsiaTheme="minorEastAsia" w:hAnsi="Times New Roman" w:cs="Times New Roman"/>
      <w:sz w:val="24"/>
      <w:lang w:val="en-US"/>
    </w:rPr>
  </w:style>
  <w:style w:type="character" w:styleId="UyteHipercze">
    <w:name w:val="FollowedHyperlink"/>
    <w:basedOn w:val="Domylnaczcionkaakapitu"/>
    <w:uiPriority w:val="99"/>
    <w:semiHidden/>
    <w:unhideWhenUsed/>
    <w:rsid w:val="0078425D"/>
    <w:rPr>
      <w:color w:val="800080" w:themeColor="followedHyperlink"/>
      <w:u w:val="single"/>
    </w:rPr>
  </w:style>
  <w:style w:type="paragraph" w:styleId="Nagwek">
    <w:name w:val="header"/>
    <w:basedOn w:val="Normalny"/>
    <w:link w:val="NagwekZnak"/>
    <w:uiPriority w:val="99"/>
    <w:unhideWhenUsed/>
    <w:rsid w:val="001347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4773"/>
  </w:style>
  <w:style w:type="paragraph" w:styleId="Stopka">
    <w:name w:val="footer"/>
    <w:basedOn w:val="Normalny"/>
    <w:link w:val="StopkaZnak"/>
    <w:uiPriority w:val="99"/>
    <w:unhideWhenUsed/>
    <w:rsid w:val="001347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4773"/>
  </w:style>
  <w:style w:type="character" w:styleId="Odwoaniedokomentarza">
    <w:name w:val="annotation reference"/>
    <w:basedOn w:val="Domylnaczcionkaakapitu"/>
    <w:uiPriority w:val="99"/>
    <w:semiHidden/>
    <w:unhideWhenUsed/>
    <w:rsid w:val="00D4640E"/>
    <w:rPr>
      <w:sz w:val="16"/>
      <w:szCs w:val="16"/>
    </w:rPr>
  </w:style>
  <w:style w:type="paragraph" w:styleId="Tekstkomentarza">
    <w:name w:val="annotation text"/>
    <w:basedOn w:val="Normalny"/>
    <w:link w:val="TekstkomentarzaZnak"/>
    <w:uiPriority w:val="99"/>
    <w:semiHidden/>
    <w:unhideWhenUsed/>
    <w:rsid w:val="00D4640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640E"/>
    <w:rPr>
      <w:sz w:val="20"/>
      <w:szCs w:val="20"/>
    </w:rPr>
  </w:style>
  <w:style w:type="paragraph" w:styleId="Tematkomentarza">
    <w:name w:val="annotation subject"/>
    <w:basedOn w:val="Tekstkomentarza"/>
    <w:next w:val="Tekstkomentarza"/>
    <w:link w:val="TematkomentarzaZnak"/>
    <w:uiPriority w:val="99"/>
    <w:semiHidden/>
    <w:unhideWhenUsed/>
    <w:rsid w:val="00D4640E"/>
    <w:rPr>
      <w:b/>
      <w:bCs/>
    </w:rPr>
  </w:style>
  <w:style w:type="character" w:customStyle="1" w:styleId="TematkomentarzaZnak">
    <w:name w:val="Temat komentarza Znak"/>
    <w:basedOn w:val="TekstkomentarzaZnak"/>
    <w:link w:val="Tematkomentarza"/>
    <w:uiPriority w:val="99"/>
    <w:semiHidden/>
    <w:rsid w:val="00D4640E"/>
    <w:rPr>
      <w:b/>
      <w:bCs/>
      <w:sz w:val="20"/>
      <w:szCs w:val="20"/>
    </w:rPr>
  </w:style>
  <w:style w:type="paragraph" w:styleId="Tekstpodstawowy3">
    <w:name w:val="Body Text 3"/>
    <w:basedOn w:val="Normalny"/>
    <w:link w:val="Tekstpodstawowy3Znak"/>
    <w:rsid w:val="00C820A8"/>
    <w:pPr>
      <w:spacing w:after="0" w:line="240" w:lineRule="auto"/>
      <w:jc w:val="both"/>
    </w:pPr>
    <w:rPr>
      <w:rFonts w:ascii="Times New Roman" w:eastAsia="Times New Roman" w:hAnsi="Times New Roman" w:cs="Times New Roman"/>
      <w:b/>
      <w:sz w:val="24"/>
      <w:szCs w:val="20"/>
      <w:lang w:val="en-US" w:eastAsia="zh-CN"/>
    </w:rPr>
  </w:style>
  <w:style w:type="character" w:customStyle="1" w:styleId="Tekstpodstawowy3Znak">
    <w:name w:val="Tekst podstawowy 3 Znak"/>
    <w:basedOn w:val="Domylnaczcionkaakapitu"/>
    <w:link w:val="Tekstpodstawowy3"/>
    <w:rsid w:val="00C820A8"/>
    <w:rPr>
      <w:rFonts w:ascii="Times New Roman" w:eastAsia="Times New Roman" w:hAnsi="Times New Roman" w:cs="Times New Roman"/>
      <w:b/>
      <w:sz w:val="24"/>
      <w:szCs w:val="20"/>
      <w:lang w:val="en-US" w:eastAsia="zh-CN"/>
    </w:rPr>
  </w:style>
  <w:style w:type="paragraph" w:customStyle="1" w:styleId="s52b9fb1c">
    <w:name w:val="s52b9fb1c"/>
    <w:basedOn w:val="Normalny"/>
    <w:rsid w:val="00A83072"/>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s6b621b36">
    <w:name w:val="s6b621b36"/>
    <w:basedOn w:val="Domylnaczcionkaakapitu"/>
    <w:rsid w:val="00A83072"/>
  </w:style>
  <w:style w:type="paragraph" w:customStyle="1" w:styleId="s6c21291f">
    <w:name w:val="s6c21291f"/>
    <w:basedOn w:val="Normalny"/>
    <w:rsid w:val="00A83072"/>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s21d618bf">
    <w:name w:val="s21d618bf"/>
    <w:basedOn w:val="Normalny"/>
    <w:rsid w:val="00A83072"/>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styleId="Tekstprzypisudolnego">
    <w:name w:val="footnote text"/>
    <w:basedOn w:val="Normalny"/>
    <w:link w:val="TekstprzypisudolnegoZnak"/>
    <w:uiPriority w:val="99"/>
    <w:semiHidden/>
    <w:unhideWhenUsed/>
    <w:rsid w:val="00177D1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77D15"/>
    <w:rPr>
      <w:sz w:val="20"/>
      <w:szCs w:val="20"/>
    </w:rPr>
  </w:style>
  <w:style w:type="character" w:styleId="Odwoanieprzypisudolnego">
    <w:name w:val="footnote reference"/>
    <w:basedOn w:val="Domylnaczcionkaakapitu"/>
    <w:uiPriority w:val="99"/>
    <w:semiHidden/>
    <w:unhideWhenUsed/>
    <w:rsid w:val="00177D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07636">
      <w:bodyDiv w:val="1"/>
      <w:marLeft w:val="0"/>
      <w:marRight w:val="0"/>
      <w:marTop w:val="0"/>
      <w:marBottom w:val="0"/>
      <w:divBdr>
        <w:top w:val="none" w:sz="0" w:space="0" w:color="auto"/>
        <w:left w:val="none" w:sz="0" w:space="0" w:color="auto"/>
        <w:bottom w:val="none" w:sz="0" w:space="0" w:color="auto"/>
        <w:right w:val="none" w:sz="0" w:space="0" w:color="auto"/>
      </w:divBdr>
    </w:div>
    <w:div w:id="346909671">
      <w:bodyDiv w:val="1"/>
      <w:marLeft w:val="0"/>
      <w:marRight w:val="0"/>
      <w:marTop w:val="0"/>
      <w:marBottom w:val="0"/>
      <w:divBdr>
        <w:top w:val="none" w:sz="0" w:space="0" w:color="auto"/>
        <w:left w:val="none" w:sz="0" w:space="0" w:color="auto"/>
        <w:bottom w:val="none" w:sz="0" w:space="0" w:color="auto"/>
        <w:right w:val="none" w:sz="0" w:space="0" w:color="auto"/>
      </w:divBdr>
    </w:div>
    <w:div w:id="709766107">
      <w:bodyDiv w:val="1"/>
      <w:marLeft w:val="0"/>
      <w:marRight w:val="0"/>
      <w:marTop w:val="0"/>
      <w:marBottom w:val="0"/>
      <w:divBdr>
        <w:top w:val="none" w:sz="0" w:space="0" w:color="auto"/>
        <w:left w:val="none" w:sz="0" w:space="0" w:color="auto"/>
        <w:bottom w:val="none" w:sz="0" w:space="0" w:color="auto"/>
        <w:right w:val="none" w:sz="0" w:space="0" w:color="auto"/>
      </w:divBdr>
    </w:div>
    <w:div w:id="1231774188">
      <w:bodyDiv w:val="1"/>
      <w:marLeft w:val="0"/>
      <w:marRight w:val="0"/>
      <w:marTop w:val="0"/>
      <w:marBottom w:val="0"/>
      <w:divBdr>
        <w:top w:val="none" w:sz="0" w:space="0" w:color="auto"/>
        <w:left w:val="none" w:sz="0" w:space="0" w:color="auto"/>
        <w:bottom w:val="none" w:sz="0" w:space="0" w:color="auto"/>
        <w:right w:val="none" w:sz="0" w:space="0" w:color="auto"/>
      </w:divBdr>
      <w:divsChild>
        <w:div w:id="1245530633">
          <w:marLeft w:val="0"/>
          <w:marRight w:val="0"/>
          <w:marTop w:val="0"/>
          <w:marBottom w:val="0"/>
          <w:divBdr>
            <w:top w:val="none" w:sz="0" w:space="0" w:color="auto"/>
            <w:left w:val="none" w:sz="0" w:space="0" w:color="auto"/>
            <w:bottom w:val="none" w:sz="0" w:space="0" w:color="auto"/>
            <w:right w:val="none" w:sz="0" w:space="0" w:color="auto"/>
          </w:divBdr>
          <w:divsChild>
            <w:div w:id="1392967932">
              <w:marLeft w:val="0"/>
              <w:marRight w:val="0"/>
              <w:marTop w:val="0"/>
              <w:marBottom w:val="0"/>
              <w:divBdr>
                <w:top w:val="none" w:sz="0" w:space="0" w:color="auto"/>
                <w:left w:val="none" w:sz="0" w:space="0" w:color="auto"/>
                <w:bottom w:val="none" w:sz="0" w:space="0" w:color="auto"/>
                <w:right w:val="none" w:sz="0" w:space="0" w:color="auto"/>
              </w:divBdr>
              <w:divsChild>
                <w:div w:id="1263756934">
                  <w:marLeft w:val="0"/>
                  <w:marRight w:val="0"/>
                  <w:marTop w:val="0"/>
                  <w:marBottom w:val="0"/>
                  <w:divBdr>
                    <w:top w:val="none" w:sz="0" w:space="0" w:color="auto"/>
                    <w:left w:val="none" w:sz="0" w:space="0" w:color="auto"/>
                    <w:bottom w:val="none" w:sz="0" w:space="0" w:color="auto"/>
                    <w:right w:val="none" w:sz="0" w:space="0" w:color="auto"/>
                  </w:divBdr>
                  <w:divsChild>
                    <w:div w:id="1835339412">
                      <w:marLeft w:val="0"/>
                      <w:marRight w:val="0"/>
                      <w:marTop w:val="0"/>
                      <w:marBottom w:val="0"/>
                      <w:divBdr>
                        <w:top w:val="none" w:sz="0" w:space="0" w:color="auto"/>
                        <w:left w:val="none" w:sz="0" w:space="0" w:color="auto"/>
                        <w:bottom w:val="none" w:sz="0" w:space="0" w:color="auto"/>
                        <w:right w:val="none" w:sz="0" w:space="0" w:color="auto"/>
                      </w:divBdr>
                      <w:divsChild>
                        <w:div w:id="1851023196">
                          <w:marLeft w:val="0"/>
                          <w:marRight w:val="0"/>
                          <w:marTop w:val="0"/>
                          <w:marBottom w:val="0"/>
                          <w:divBdr>
                            <w:top w:val="none" w:sz="0" w:space="0" w:color="auto"/>
                            <w:left w:val="none" w:sz="0" w:space="0" w:color="auto"/>
                            <w:bottom w:val="none" w:sz="0" w:space="0" w:color="auto"/>
                            <w:right w:val="none" w:sz="0" w:space="0" w:color="auto"/>
                          </w:divBdr>
                          <w:divsChild>
                            <w:div w:id="1292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200996">
      <w:bodyDiv w:val="1"/>
      <w:marLeft w:val="0"/>
      <w:marRight w:val="0"/>
      <w:marTop w:val="0"/>
      <w:marBottom w:val="0"/>
      <w:divBdr>
        <w:top w:val="none" w:sz="0" w:space="0" w:color="auto"/>
        <w:left w:val="none" w:sz="0" w:space="0" w:color="auto"/>
        <w:bottom w:val="none" w:sz="0" w:space="0" w:color="auto"/>
        <w:right w:val="none" w:sz="0" w:space="0" w:color="auto"/>
      </w:divBdr>
      <w:divsChild>
        <w:div w:id="691958918">
          <w:marLeft w:val="0"/>
          <w:marRight w:val="0"/>
          <w:marTop w:val="0"/>
          <w:marBottom w:val="0"/>
          <w:divBdr>
            <w:top w:val="none" w:sz="0" w:space="0" w:color="auto"/>
            <w:left w:val="none" w:sz="0" w:space="0" w:color="auto"/>
            <w:bottom w:val="none" w:sz="0" w:space="0" w:color="auto"/>
            <w:right w:val="none" w:sz="0" w:space="0" w:color="auto"/>
          </w:divBdr>
          <w:divsChild>
            <w:div w:id="658926007">
              <w:marLeft w:val="0"/>
              <w:marRight w:val="0"/>
              <w:marTop w:val="0"/>
              <w:marBottom w:val="0"/>
              <w:divBdr>
                <w:top w:val="none" w:sz="0" w:space="0" w:color="auto"/>
                <w:left w:val="none" w:sz="0" w:space="0" w:color="auto"/>
                <w:bottom w:val="none" w:sz="0" w:space="0" w:color="auto"/>
                <w:right w:val="none" w:sz="0" w:space="0" w:color="auto"/>
              </w:divBdr>
              <w:divsChild>
                <w:div w:id="2060785470">
                  <w:marLeft w:val="0"/>
                  <w:marRight w:val="0"/>
                  <w:marTop w:val="0"/>
                  <w:marBottom w:val="0"/>
                  <w:divBdr>
                    <w:top w:val="none" w:sz="0" w:space="0" w:color="auto"/>
                    <w:left w:val="none" w:sz="0" w:space="0" w:color="auto"/>
                    <w:bottom w:val="none" w:sz="0" w:space="0" w:color="auto"/>
                    <w:right w:val="none" w:sz="0" w:space="0" w:color="auto"/>
                  </w:divBdr>
                  <w:divsChild>
                    <w:div w:id="1044408898">
                      <w:marLeft w:val="0"/>
                      <w:marRight w:val="0"/>
                      <w:marTop w:val="0"/>
                      <w:marBottom w:val="0"/>
                      <w:divBdr>
                        <w:top w:val="none" w:sz="0" w:space="0" w:color="auto"/>
                        <w:left w:val="none" w:sz="0" w:space="0" w:color="auto"/>
                        <w:bottom w:val="none" w:sz="0" w:space="0" w:color="auto"/>
                        <w:right w:val="none" w:sz="0" w:space="0" w:color="auto"/>
                      </w:divBdr>
                      <w:divsChild>
                        <w:div w:id="554318967">
                          <w:marLeft w:val="0"/>
                          <w:marRight w:val="0"/>
                          <w:marTop w:val="0"/>
                          <w:marBottom w:val="0"/>
                          <w:divBdr>
                            <w:top w:val="none" w:sz="0" w:space="0" w:color="auto"/>
                            <w:left w:val="none" w:sz="0" w:space="0" w:color="auto"/>
                            <w:bottom w:val="none" w:sz="0" w:space="0" w:color="auto"/>
                            <w:right w:val="none" w:sz="0" w:space="0" w:color="auto"/>
                          </w:divBdr>
                          <w:divsChild>
                            <w:div w:id="11397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215122">
      <w:bodyDiv w:val="1"/>
      <w:marLeft w:val="0"/>
      <w:marRight w:val="0"/>
      <w:marTop w:val="0"/>
      <w:marBottom w:val="0"/>
      <w:divBdr>
        <w:top w:val="none" w:sz="0" w:space="0" w:color="auto"/>
        <w:left w:val="none" w:sz="0" w:space="0" w:color="auto"/>
        <w:bottom w:val="none" w:sz="0" w:space="0" w:color="auto"/>
        <w:right w:val="none" w:sz="0" w:space="0" w:color="auto"/>
      </w:divBdr>
    </w:div>
    <w:div w:id="177702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sz.gov.pl/pl/polityka_zagraniczna/europejski_trybunal_praw_czlowieka/akty_praw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9625F-37B9-4F30-8110-AEA24DA55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7</Pages>
  <Words>2751</Words>
  <Characters>16510</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Ministerstwo Spraw Zagranicznych</Company>
  <LinksUpToDate>false</LinksUpToDate>
  <CharactersWithSpaces>19223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Suchożebrska Eliza</dc:creator>
  <cp:lastModifiedBy>Suchożebrska Eliza</cp:lastModifiedBy>
  <cp:revision>43</cp:revision>
  <dcterms:created xsi:type="dcterms:W3CDTF">2017-07-26T10:38:00Z</dcterms:created>
  <dcterms:modified xsi:type="dcterms:W3CDTF">2018-05-08T07:36:00Z</dcterms:modified>
</cp:coreProperties>
</file>