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6C" w:rsidRPr="0012536C" w:rsidRDefault="007E4944" w:rsidP="00EE3EB8">
      <w:pPr>
        <w:rPr>
          <w:lang w:val="pl-PL"/>
        </w:rPr>
      </w:pPr>
      <w:r>
        <w:rPr>
          <w:lang w:val="pl-PL"/>
        </w:rPr>
        <w:t xml:space="preserve"> </w:t>
      </w:r>
    </w:p>
    <w:p w:rsidR="0012536C" w:rsidRDefault="0012536C" w:rsidP="0011458C">
      <w:pPr>
        <w:spacing w:after="120" w:line="240" w:lineRule="auto"/>
        <w:rPr>
          <w:b/>
          <w:lang w:val="pl-PL"/>
        </w:rPr>
      </w:pPr>
    </w:p>
    <w:p w:rsidR="00CB0F1D" w:rsidRDefault="00CB0F1D" w:rsidP="0012536C">
      <w:pPr>
        <w:spacing w:after="120" w:line="240" w:lineRule="auto"/>
        <w:jc w:val="center"/>
        <w:rPr>
          <w:b/>
          <w:lang w:val="pl-PL"/>
        </w:rPr>
      </w:pPr>
    </w:p>
    <w:p w:rsidR="00CB0F1D" w:rsidRDefault="00CB0F1D" w:rsidP="0012536C">
      <w:pPr>
        <w:spacing w:after="120" w:line="240" w:lineRule="auto"/>
        <w:jc w:val="center"/>
        <w:rPr>
          <w:b/>
          <w:lang w:val="pl-PL"/>
        </w:rPr>
      </w:pPr>
    </w:p>
    <w:p w:rsidR="00CB0F1D" w:rsidRDefault="00CB0F1D" w:rsidP="0012536C">
      <w:pPr>
        <w:spacing w:after="120" w:line="240" w:lineRule="auto"/>
        <w:jc w:val="center"/>
        <w:rPr>
          <w:b/>
          <w:lang w:val="pl-PL"/>
        </w:rPr>
      </w:pPr>
    </w:p>
    <w:p w:rsidR="00CB0F1D" w:rsidRPr="00CB0F1D" w:rsidRDefault="00CB0F1D" w:rsidP="00CB0F1D">
      <w:pPr>
        <w:spacing w:after="120" w:line="240" w:lineRule="auto"/>
        <w:jc w:val="right"/>
        <w:rPr>
          <w:lang w:val="pl-PL"/>
        </w:rPr>
      </w:pPr>
      <w:r w:rsidRPr="00CB0F1D">
        <w:rPr>
          <w:lang w:val="pl-PL"/>
        </w:rPr>
        <w:t xml:space="preserve">Warszawa, dnia </w:t>
      </w:r>
      <w:r w:rsidR="0036428B">
        <w:rPr>
          <w:lang w:val="pl-PL"/>
        </w:rPr>
        <w:t>17 kwietnia 2018</w:t>
      </w:r>
      <w:r w:rsidRPr="00CB0F1D">
        <w:rPr>
          <w:lang w:val="pl-PL"/>
        </w:rPr>
        <w:t xml:space="preserve"> r.</w:t>
      </w:r>
    </w:p>
    <w:p w:rsidR="00CB0F1D" w:rsidRDefault="00CB0F1D" w:rsidP="0012536C">
      <w:pPr>
        <w:spacing w:after="120" w:line="240" w:lineRule="auto"/>
        <w:jc w:val="center"/>
        <w:rPr>
          <w:b/>
          <w:lang w:val="pl-PL"/>
        </w:rPr>
      </w:pPr>
    </w:p>
    <w:p w:rsidR="00A84C0D" w:rsidRDefault="00A84C0D" w:rsidP="008D0888">
      <w:pPr>
        <w:spacing w:after="100"/>
        <w:jc w:val="center"/>
        <w:rPr>
          <w:b/>
          <w:sz w:val="21"/>
          <w:szCs w:val="21"/>
          <w:lang w:val="pl-PL"/>
        </w:rPr>
      </w:pPr>
      <w:r w:rsidRPr="008D0888">
        <w:rPr>
          <w:b/>
          <w:sz w:val="21"/>
          <w:szCs w:val="21"/>
          <w:lang w:val="pl-PL"/>
        </w:rPr>
        <w:t>Robocza lista rzeczy do sprawdzenia w tłumaczeniu orzeczeń ETPCz:</w:t>
      </w:r>
    </w:p>
    <w:p w:rsidR="008D0888" w:rsidRPr="008D0888" w:rsidRDefault="008D0888" w:rsidP="008D0888">
      <w:pPr>
        <w:spacing w:after="100"/>
        <w:jc w:val="center"/>
        <w:rPr>
          <w:b/>
          <w:sz w:val="21"/>
          <w:szCs w:val="21"/>
          <w:lang w:val="pl-PL"/>
        </w:rPr>
      </w:pPr>
    </w:p>
    <w:p w:rsidR="00A84C0D" w:rsidRDefault="00A84C0D" w:rsidP="00A84C0D">
      <w:pPr>
        <w:pStyle w:val="Akapitzlist"/>
        <w:numPr>
          <w:ilvl w:val="0"/>
          <w:numId w:val="10"/>
        </w:numPr>
        <w:spacing w:after="100"/>
        <w:ind w:left="360"/>
        <w:rPr>
          <w:sz w:val="21"/>
          <w:szCs w:val="21"/>
        </w:rPr>
      </w:pPr>
      <w:r>
        <w:rPr>
          <w:sz w:val="21"/>
          <w:szCs w:val="21"/>
        </w:rPr>
        <w:t>czy nazwa i numer skargi oraz data wyroku się zgadza</w:t>
      </w:r>
    </w:p>
    <w:p w:rsidR="008D0888" w:rsidRDefault="008D0888" w:rsidP="008D0888">
      <w:pPr>
        <w:pStyle w:val="Akapitzlist"/>
        <w:spacing w:after="100"/>
        <w:ind w:left="360"/>
        <w:rPr>
          <w:sz w:val="21"/>
          <w:szCs w:val="21"/>
        </w:rPr>
      </w:pPr>
    </w:p>
    <w:p w:rsidR="00A84C0D" w:rsidRDefault="00A84C0D" w:rsidP="00A84C0D">
      <w:pPr>
        <w:spacing w:after="100"/>
        <w:rPr>
          <w:sz w:val="21"/>
          <w:szCs w:val="21"/>
          <w:u w:val="single"/>
        </w:rPr>
      </w:pPr>
      <w:proofErr w:type="spellStart"/>
      <w:r>
        <w:rPr>
          <w:sz w:val="21"/>
          <w:szCs w:val="21"/>
          <w:u w:val="single"/>
        </w:rPr>
        <w:t>Czy</w:t>
      </w:r>
      <w:proofErr w:type="spellEnd"/>
      <w:r>
        <w:rPr>
          <w:sz w:val="21"/>
          <w:szCs w:val="21"/>
          <w:u w:val="single"/>
        </w:rPr>
        <w:t xml:space="preserve"> jest </w:t>
      </w:r>
      <w:proofErr w:type="spellStart"/>
      <w:r>
        <w:rPr>
          <w:sz w:val="21"/>
          <w:szCs w:val="21"/>
          <w:u w:val="single"/>
        </w:rPr>
        <w:t>jednolitość</w:t>
      </w:r>
      <w:proofErr w:type="spellEnd"/>
      <w:r>
        <w:rPr>
          <w:sz w:val="21"/>
          <w:szCs w:val="21"/>
          <w:u w:val="single"/>
        </w:rPr>
        <w:t>:</w:t>
      </w:r>
    </w:p>
    <w:p w:rsidR="00A84C0D" w:rsidRDefault="00A84C0D" w:rsidP="00A84C0D">
      <w:pPr>
        <w:pStyle w:val="Akapitzlist"/>
        <w:numPr>
          <w:ilvl w:val="0"/>
          <w:numId w:val="10"/>
        </w:numPr>
        <w:spacing w:after="100"/>
        <w:ind w:left="360"/>
        <w:rPr>
          <w:sz w:val="21"/>
          <w:szCs w:val="21"/>
        </w:rPr>
      </w:pPr>
      <w:r>
        <w:rPr>
          <w:sz w:val="21"/>
          <w:szCs w:val="21"/>
        </w:rPr>
        <w:t>zapisu „art.”, „ust.”, „lit. a” itp. /np. art. 35 ust. 1 lit. a Konwencji lub ustawy, Reguła 59 § 1 Regulaminu Trybunału/</w:t>
      </w:r>
    </w:p>
    <w:p w:rsidR="00A84C0D" w:rsidRDefault="00A84C0D" w:rsidP="00A84C0D">
      <w:pPr>
        <w:pStyle w:val="Akapitzlist"/>
        <w:numPr>
          <w:ilvl w:val="0"/>
          <w:numId w:val="10"/>
        </w:numPr>
        <w:spacing w:after="100"/>
        <w:ind w:left="360"/>
        <w:rPr>
          <w:sz w:val="21"/>
          <w:szCs w:val="21"/>
        </w:rPr>
      </w:pPr>
      <w:r>
        <w:rPr>
          <w:sz w:val="21"/>
          <w:szCs w:val="21"/>
        </w:rPr>
        <w:t>zapisu „§” i paragraf na oznaczenia paragrafów wyroków (§ - do przywołania paragrafów innych wyroków ETPCz, paragraf – do przywoływania paragrafów w ramach danego wyroku)</w:t>
      </w:r>
    </w:p>
    <w:p w:rsidR="00A84C0D" w:rsidRDefault="00A84C0D" w:rsidP="00A84C0D">
      <w:pPr>
        <w:pStyle w:val="Akapitzlist"/>
        <w:numPr>
          <w:ilvl w:val="0"/>
          <w:numId w:val="10"/>
        </w:numPr>
        <w:spacing w:after="100"/>
        <w:ind w:left="360"/>
        <w:rPr>
          <w:sz w:val="21"/>
          <w:szCs w:val="21"/>
        </w:rPr>
      </w:pPr>
      <w:r>
        <w:rPr>
          <w:sz w:val="21"/>
          <w:szCs w:val="21"/>
        </w:rPr>
        <w:t>wewnętrzna jednolitość zapisu „r.” lub „roku”</w:t>
      </w:r>
    </w:p>
    <w:p w:rsidR="00A84C0D" w:rsidRDefault="00A84C0D" w:rsidP="00A84C0D">
      <w:pPr>
        <w:pStyle w:val="Akapitzlist"/>
        <w:numPr>
          <w:ilvl w:val="0"/>
          <w:numId w:val="10"/>
        </w:numPr>
        <w:spacing w:after="100"/>
        <w:ind w:left="360"/>
        <w:rPr>
          <w:sz w:val="21"/>
          <w:szCs w:val="21"/>
        </w:rPr>
      </w:pPr>
      <w:r>
        <w:rPr>
          <w:sz w:val="21"/>
          <w:szCs w:val="21"/>
        </w:rPr>
        <w:t>wewnętrzna jednolitość stosowania zapisów typu „</w:t>
      </w:r>
      <w:r>
        <w:rPr>
          <w:i/>
          <w:sz w:val="21"/>
          <w:szCs w:val="21"/>
        </w:rPr>
        <w:t>op. cit.</w:t>
      </w:r>
      <w:r>
        <w:rPr>
          <w:sz w:val="21"/>
          <w:szCs w:val="21"/>
        </w:rPr>
        <w:t xml:space="preserve">” lub cytowany powyżej itp., zobacz lub patrz </w:t>
      </w:r>
    </w:p>
    <w:p w:rsidR="00A84C0D" w:rsidRDefault="00A84C0D" w:rsidP="00A84C0D">
      <w:pPr>
        <w:pStyle w:val="Akapitzlist"/>
        <w:numPr>
          <w:ilvl w:val="0"/>
          <w:numId w:val="10"/>
        </w:numPr>
        <w:spacing w:after="100"/>
        <w:ind w:left="360"/>
        <w:rPr>
          <w:sz w:val="21"/>
          <w:szCs w:val="21"/>
        </w:rPr>
      </w:pPr>
      <w:r>
        <w:rPr>
          <w:sz w:val="21"/>
          <w:szCs w:val="21"/>
        </w:rPr>
        <w:t xml:space="preserve">wewnętrzna jednolitość stosowania dużej lub małej litery, np. w odniesieniu do rządu, państwa itp. </w:t>
      </w:r>
    </w:p>
    <w:p w:rsidR="00A84C0D" w:rsidRDefault="00A84C0D" w:rsidP="00A84C0D">
      <w:pPr>
        <w:pStyle w:val="Akapitzlist"/>
        <w:numPr>
          <w:ilvl w:val="0"/>
          <w:numId w:val="10"/>
        </w:numPr>
        <w:spacing w:after="100"/>
        <w:ind w:left="360"/>
        <w:rPr>
          <w:sz w:val="21"/>
          <w:szCs w:val="21"/>
        </w:rPr>
      </w:pPr>
      <w:r>
        <w:rPr>
          <w:sz w:val="21"/>
          <w:szCs w:val="21"/>
        </w:rPr>
        <w:t>wewnętrznie jednolity zapis liczb, przecinki w liczbach dziesiętnych zamiast kropek</w:t>
      </w:r>
    </w:p>
    <w:p w:rsidR="008D0888" w:rsidRDefault="008D0888" w:rsidP="008D0888">
      <w:pPr>
        <w:pStyle w:val="Akapitzlist"/>
        <w:spacing w:after="100"/>
        <w:ind w:left="360"/>
        <w:rPr>
          <w:sz w:val="21"/>
          <w:szCs w:val="21"/>
        </w:rPr>
      </w:pPr>
    </w:p>
    <w:p w:rsidR="00A84C0D" w:rsidRDefault="00A84C0D" w:rsidP="00A84C0D">
      <w:pPr>
        <w:spacing w:after="100"/>
        <w:rPr>
          <w:sz w:val="21"/>
          <w:szCs w:val="21"/>
          <w:u w:val="single"/>
        </w:rPr>
      </w:pPr>
      <w:proofErr w:type="spellStart"/>
      <w:r>
        <w:rPr>
          <w:sz w:val="21"/>
          <w:szCs w:val="21"/>
          <w:u w:val="single"/>
        </w:rPr>
        <w:t>Czy</w:t>
      </w:r>
      <w:proofErr w:type="spellEnd"/>
      <w:r>
        <w:rPr>
          <w:sz w:val="21"/>
          <w:szCs w:val="21"/>
          <w:u w:val="single"/>
        </w:rPr>
        <w:t xml:space="preserve"> jest </w:t>
      </w:r>
      <w:proofErr w:type="spellStart"/>
      <w:r>
        <w:rPr>
          <w:sz w:val="21"/>
          <w:szCs w:val="21"/>
          <w:u w:val="single"/>
        </w:rPr>
        <w:t>stosowana</w:t>
      </w:r>
      <w:proofErr w:type="spellEnd"/>
      <w:r>
        <w:rPr>
          <w:sz w:val="21"/>
          <w:szCs w:val="21"/>
          <w:u w:val="single"/>
        </w:rPr>
        <w:t xml:space="preserve"> </w:t>
      </w:r>
      <w:proofErr w:type="spellStart"/>
      <w:r>
        <w:rPr>
          <w:sz w:val="21"/>
          <w:szCs w:val="21"/>
          <w:u w:val="single"/>
        </w:rPr>
        <w:t>terminologia</w:t>
      </w:r>
      <w:proofErr w:type="spellEnd"/>
      <w:r>
        <w:rPr>
          <w:sz w:val="21"/>
          <w:szCs w:val="21"/>
          <w:u w:val="single"/>
        </w:rPr>
        <w:t>:</w:t>
      </w:r>
    </w:p>
    <w:p w:rsidR="00A84C0D" w:rsidRDefault="00A84C0D" w:rsidP="00A84C0D">
      <w:pPr>
        <w:pStyle w:val="Akapitzlist"/>
        <w:numPr>
          <w:ilvl w:val="0"/>
          <w:numId w:val="10"/>
        </w:numPr>
        <w:spacing w:after="100"/>
        <w:ind w:left="360"/>
        <w:rPr>
          <w:sz w:val="21"/>
          <w:szCs w:val="21"/>
        </w:rPr>
      </w:pPr>
      <w:r>
        <w:rPr>
          <w:sz w:val="21"/>
          <w:szCs w:val="21"/>
        </w:rPr>
        <w:t>„skarżący” (a nie wnioskodawca) (gdy „</w:t>
      </w:r>
      <w:proofErr w:type="spellStart"/>
      <w:r>
        <w:rPr>
          <w:i/>
          <w:sz w:val="21"/>
          <w:szCs w:val="21"/>
        </w:rPr>
        <w:t>applicant</w:t>
      </w:r>
      <w:proofErr w:type="spellEnd"/>
      <w:r>
        <w:rPr>
          <w:sz w:val="21"/>
          <w:szCs w:val="21"/>
        </w:rPr>
        <w:t>” w kontekście postępowań przed ETPCz)</w:t>
      </w:r>
    </w:p>
    <w:p w:rsidR="00A84C0D" w:rsidRDefault="00A84C0D" w:rsidP="00A84C0D">
      <w:pPr>
        <w:pStyle w:val="Akapitzlist"/>
        <w:numPr>
          <w:ilvl w:val="0"/>
          <w:numId w:val="10"/>
        </w:numPr>
        <w:spacing w:after="100"/>
        <w:ind w:left="360"/>
        <w:rPr>
          <w:sz w:val="21"/>
          <w:szCs w:val="21"/>
        </w:rPr>
      </w:pPr>
      <w:r>
        <w:rPr>
          <w:sz w:val="21"/>
          <w:szCs w:val="21"/>
        </w:rPr>
        <w:t xml:space="preserve"> „w sposób oczywisty nieuzasadniona” (a nie np. „bezzasadna”, „niezasadna” - w kontekście badania przez Trybunał dopuszczalności na podstawie art. 35 ust. 1) (</w:t>
      </w:r>
      <w:proofErr w:type="spellStart"/>
      <w:r>
        <w:rPr>
          <w:i/>
          <w:sz w:val="21"/>
          <w:szCs w:val="21"/>
        </w:rPr>
        <w:t>manifestly</w:t>
      </w:r>
      <w:proofErr w:type="spellEnd"/>
      <w:r>
        <w:rPr>
          <w:i/>
          <w:sz w:val="21"/>
          <w:szCs w:val="21"/>
        </w:rPr>
        <w:t xml:space="preserve"> </w:t>
      </w:r>
      <w:proofErr w:type="spellStart"/>
      <w:r>
        <w:rPr>
          <w:i/>
          <w:sz w:val="21"/>
          <w:szCs w:val="21"/>
        </w:rPr>
        <w:t>ill-founded</w:t>
      </w:r>
      <w:proofErr w:type="spellEnd"/>
      <w:r>
        <w:rPr>
          <w:sz w:val="21"/>
          <w:szCs w:val="21"/>
        </w:rPr>
        <w:t>)</w:t>
      </w:r>
    </w:p>
    <w:p w:rsidR="00A84C0D" w:rsidRDefault="00A84C0D" w:rsidP="00A84C0D">
      <w:pPr>
        <w:pStyle w:val="Akapitzlist"/>
        <w:numPr>
          <w:ilvl w:val="0"/>
          <w:numId w:val="10"/>
        </w:numPr>
        <w:spacing w:after="100"/>
        <w:ind w:left="360"/>
        <w:rPr>
          <w:sz w:val="21"/>
          <w:szCs w:val="21"/>
        </w:rPr>
      </w:pPr>
      <w:r>
        <w:rPr>
          <w:sz w:val="21"/>
          <w:szCs w:val="21"/>
        </w:rPr>
        <w:t xml:space="preserve"> „zakomunikowana” Rządowi (a nie np. przekazana)</w:t>
      </w:r>
    </w:p>
    <w:p w:rsidR="00A84C0D" w:rsidRDefault="00A84C0D" w:rsidP="00A84C0D">
      <w:pPr>
        <w:pStyle w:val="Akapitzlist"/>
        <w:numPr>
          <w:ilvl w:val="0"/>
          <w:numId w:val="10"/>
        </w:numPr>
        <w:spacing w:after="100"/>
        <w:ind w:left="360"/>
        <w:rPr>
          <w:sz w:val="21"/>
          <w:szCs w:val="21"/>
        </w:rPr>
      </w:pPr>
      <w:r>
        <w:rPr>
          <w:sz w:val="21"/>
          <w:szCs w:val="21"/>
        </w:rPr>
        <w:t xml:space="preserve"> „uprawniony” przy tłumaczeniu słowa „</w:t>
      </w:r>
      <w:proofErr w:type="spellStart"/>
      <w:r>
        <w:rPr>
          <w:sz w:val="21"/>
          <w:szCs w:val="21"/>
        </w:rPr>
        <w:t>legitimate</w:t>
      </w:r>
      <w:proofErr w:type="spellEnd"/>
      <w:r>
        <w:rPr>
          <w:sz w:val="21"/>
          <w:szCs w:val="21"/>
        </w:rPr>
        <w:t xml:space="preserve">” (np. </w:t>
      </w:r>
      <w:proofErr w:type="spellStart"/>
      <w:r>
        <w:rPr>
          <w:i/>
          <w:sz w:val="21"/>
          <w:szCs w:val="21"/>
        </w:rPr>
        <w:t>legitimate</w:t>
      </w:r>
      <w:proofErr w:type="spellEnd"/>
      <w:r>
        <w:rPr>
          <w:i/>
          <w:sz w:val="21"/>
          <w:szCs w:val="21"/>
        </w:rPr>
        <w:t xml:space="preserve"> </w:t>
      </w:r>
      <w:proofErr w:type="spellStart"/>
      <w:r>
        <w:rPr>
          <w:i/>
          <w:sz w:val="21"/>
          <w:szCs w:val="21"/>
        </w:rPr>
        <w:t>aim</w:t>
      </w:r>
      <w:proofErr w:type="spellEnd"/>
      <w:r>
        <w:rPr>
          <w:i/>
          <w:sz w:val="21"/>
          <w:szCs w:val="21"/>
        </w:rPr>
        <w:t xml:space="preserve">, </w:t>
      </w:r>
      <w:proofErr w:type="spellStart"/>
      <w:r>
        <w:rPr>
          <w:i/>
          <w:sz w:val="21"/>
          <w:szCs w:val="21"/>
        </w:rPr>
        <w:t>expectation</w:t>
      </w:r>
      <w:proofErr w:type="spellEnd"/>
      <w:r>
        <w:rPr>
          <w:sz w:val="21"/>
          <w:szCs w:val="21"/>
        </w:rPr>
        <w:t>)</w:t>
      </w:r>
    </w:p>
    <w:p w:rsidR="00A84C0D" w:rsidRDefault="00A84C0D" w:rsidP="00A84C0D">
      <w:pPr>
        <w:pStyle w:val="Akapitzlist"/>
        <w:numPr>
          <w:ilvl w:val="0"/>
          <w:numId w:val="10"/>
        </w:numPr>
        <w:spacing w:after="100"/>
        <w:ind w:left="360"/>
        <w:rPr>
          <w:sz w:val="21"/>
          <w:szCs w:val="21"/>
        </w:rPr>
      </w:pPr>
      <w:r>
        <w:rPr>
          <w:sz w:val="21"/>
          <w:szCs w:val="21"/>
        </w:rPr>
        <w:t xml:space="preserve"> „margines oceny” (a nie swobody, uznania itp.) </w:t>
      </w:r>
      <w:r>
        <w:rPr>
          <w:sz w:val="21"/>
          <w:szCs w:val="21"/>
          <w:lang w:val="en-US"/>
        </w:rPr>
        <w:t>(</w:t>
      </w:r>
      <w:r>
        <w:rPr>
          <w:i/>
          <w:sz w:val="21"/>
          <w:szCs w:val="21"/>
          <w:lang w:val="en-US"/>
        </w:rPr>
        <w:t>margin of appreciation</w:t>
      </w:r>
      <w:r>
        <w:rPr>
          <w:sz w:val="21"/>
          <w:szCs w:val="21"/>
          <w:lang w:val="en-US"/>
        </w:rPr>
        <w:t>)</w:t>
      </w:r>
    </w:p>
    <w:p w:rsidR="00A84C0D" w:rsidRDefault="00A84C0D" w:rsidP="00A84C0D">
      <w:pPr>
        <w:pStyle w:val="Akapitzlist"/>
        <w:numPr>
          <w:ilvl w:val="0"/>
          <w:numId w:val="10"/>
        </w:numPr>
        <w:spacing w:after="100"/>
        <w:ind w:left="360"/>
        <w:rPr>
          <w:sz w:val="21"/>
          <w:szCs w:val="21"/>
        </w:rPr>
      </w:pPr>
      <w:r>
        <w:rPr>
          <w:sz w:val="21"/>
          <w:szCs w:val="21"/>
        </w:rPr>
        <w:t xml:space="preserve"> „Pełnomocnik” (a nie np. przedstawiciel) (</w:t>
      </w:r>
      <w:proofErr w:type="spellStart"/>
      <w:r>
        <w:rPr>
          <w:i/>
          <w:sz w:val="21"/>
          <w:szCs w:val="21"/>
        </w:rPr>
        <w:t>Government</w:t>
      </w:r>
      <w:proofErr w:type="spellEnd"/>
      <w:r>
        <w:rPr>
          <w:i/>
          <w:sz w:val="21"/>
          <w:szCs w:val="21"/>
        </w:rPr>
        <w:t xml:space="preserve"> Agent</w:t>
      </w:r>
      <w:r>
        <w:rPr>
          <w:sz w:val="21"/>
          <w:szCs w:val="21"/>
        </w:rPr>
        <w:t xml:space="preserve">) </w:t>
      </w:r>
    </w:p>
    <w:p w:rsidR="00A84C0D" w:rsidRDefault="00A84C0D" w:rsidP="00A84C0D">
      <w:pPr>
        <w:pStyle w:val="Akapitzlist"/>
        <w:numPr>
          <w:ilvl w:val="0"/>
          <w:numId w:val="10"/>
        </w:numPr>
        <w:spacing w:after="100"/>
        <w:ind w:left="360"/>
        <w:rPr>
          <w:sz w:val="21"/>
          <w:szCs w:val="21"/>
        </w:rPr>
      </w:pPr>
      <w:r>
        <w:rPr>
          <w:sz w:val="21"/>
          <w:szCs w:val="21"/>
        </w:rPr>
        <w:t xml:space="preserve"> „przedmiot skargi” w kontekście sprawy przed ETPCz (a nie „meritum” lub „istota”) (</w:t>
      </w:r>
      <w:proofErr w:type="spellStart"/>
      <w:r>
        <w:rPr>
          <w:i/>
          <w:sz w:val="21"/>
          <w:szCs w:val="21"/>
        </w:rPr>
        <w:t>merits</w:t>
      </w:r>
      <w:proofErr w:type="spellEnd"/>
      <w:r>
        <w:rPr>
          <w:sz w:val="21"/>
          <w:szCs w:val="21"/>
        </w:rPr>
        <w:t>)</w:t>
      </w:r>
    </w:p>
    <w:p w:rsidR="00A84C0D" w:rsidRDefault="00A84C0D" w:rsidP="00A84C0D">
      <w:pPr>
        <w:pStyle w:val="Akapitzlist"/>
        <w:numPr>
          <w:ilvl w:val="0"/>
          <w:numId w:val="10"/>
        </w:numPr>
        <w:spacing w:after="100"/>
        <w:ind w:left="360"/>
        <w:rPr>
          <w:i/>
          <w:sz w:val="21"/>
          <w:szCs w:val="21"/>
        </w:rPr>
      </w:pPr>
      <w:r>
        <w:rPr>
          <w:sz w:val="21"/>
          <w:szCs w:val="21"/>
        </w:rPr>
        <w:t>„ofiara” w kontekście postępowania przed ETPCz (a nie np. pokrzywdzony) (</w:t>
      </w:r>
      <w:proofErr w:type="spellStart"/>
      <w:r>
        <w:rPr>
          <w:i/>
          <w:sz w:val="21"/>
          <w:szCs w:val="21"/>
        </w:rPr>
        <w:t>victim</w:t>
      </w:r>
      <w:proofErr w:type="spellEnd"/>
      <w:r>
        <w:rPr>
          <w:i/>
          <w:sz w:val="21"/>
          <w:szCs w:val="21"/>
        </w:rPr>
        <w:t>)</w:t>
      </w:r>
    </w:p>
    <w:p w:rsidR="00A84C0D" w:rsidRDefault="00A84C0D" w:rsidP="00A84C0D">
      <w:pPr>
        <w:pStyle w:val="Akapitzlist"/>
        <w:numPr>
          <w:ilvl w:val="0"/>
          <w:numId w:val="10"/>
        </w:numPr>
        <w:spacing w:after="100"/>
        <w:ind w:left="360"/>
        <w:rPr>
          <w:i/>
          <w:sz w:val="21"/>
          <w:szCs w:val="21"/>
        </w:rPr>
      </w:pPr>
      <w:r>
        <w:rPr>
          <w:sz w:val="21"/>
          <w:szCs w:val="21"/>
        </w:rPr>
        <w:t>„ostateczny” w kontekście orzeczeń ETPCz (a nie np. prawomocny) (</w:t>
      </w:r>
      <w:proofErr w:type="spellStart"/>
      <w:r>
        <w:rPr>
          <w:i/>
          <w:sz w:val="21"/>
          <w:szCs w:val="21"/>
        </w:rPr>
        <w:t>final</w:t>
      </w:r>
      <w:proofErr w:type="spellEnd"/>
      <w:r>
        <w:rPr>
          <w:i/>
          <w:sz w:val="21"/>
          <w:szCs w:val="21"/>
        </w:rPr>
        <w:t>)</w:t>
      </w:r>
    </w:p>
    <w:p w:rsidR="00A84C0D" w:rsidRDefault="00A84C0D" w:rsidP="00A84C0D">
      <w:pPr>
        <w:pStyle w:val="Akapitzlist"/>
        <w:numPr>
          <w:ilvl w:val="0"/>
          <w:numId w:val="10"/>
        </w:numPr>
        <w:spacing w:after="100"/>
        <w:ind w:left="360"/>
        <w:rPr>
          <w:i/>
          <w:sz w:val="21"/>
          <w:szCs w:val="21"/>
        </w:rPr>
      </w:pPr>
      <w:r>
        <w:rPr>
          <w:sz w:val="21"/>
          <w:szCs w:val="21"/>
        </w:rPr>
        <w:t xml:space="preserve"> „Układające(a) się” (a nie np. umawiające(a) się)</w:t>
      </w:r>
      <w:r>
        <w:rPr>
          <w:i/>
          <w:sz w:val="21"/>
          <w:szCs w:val="21"/>
        </w:rPr>
        <w:t xml:space="preserve"> (</w:t>
      </w:r>
      <w:proofErr w:type="spellStart"/>
      <w:r>
        <w:rPr>
          <w:i/>
          <w:sz w:val="21"/>
          <w:szCs w:val="21"/>
        </w:rPr>
        <w:t>Contracting</w:t>
      </w:r>
      <w:proofErr w:type="spellEnd"/>
      <w:r>
        <w:rPr>
          <w:i/>
          <w:sz w:val="21"/>
          <w:szCs w:val="21"/>
        </w:rPr>
        <w:t xml:space="preserve"> </w:t>
      </w:r>
      <w:proofErr w:type="spellStart"/>
      <w:r>
        <w:rPr>
          <w:i/>
          <w:sz w:val="21"/>
          <w:szCs w:val="21"/>
        </w:rPr>
        <w:t>State</w:t>
      </w:r>
      <w:proofErr w:type="spellEnd"/>
      <w:r>
        <w:rPr>
          <w:i/>
          <w:sz w:val="21"/>
          <w:szCs w:val="21"/>
        </w:rPr>
        <w:t xml:space="preserve">, Party) </w:t>
      </w:r>
    </w:p>
    <w:p w:rsidR="00A84C0D" w:rsidRDefault="00A84C0D" w:rsidP="00A84C0D">
      <w:pPr>
        <w:pStyle w:val="Akapitzlist"/>
        <w:numPr>
          <w:ilvl w:val="0"/>
          <w:numId w:val="10"/>
        </w:numPr>
        <w:spacing w:after="100"/>
        <w:ind w:left="360"/>
        <w:rPr>
          <w:i/>
          <w:sz w:val="21"/>
          <w:szCs w:val="21"/>
        </w:rPr>
      </w:pPr>
      <w:r>
        <w:rPr>
          <w:sz w:val="21"/>
          <w:szCs w:val="21"/>
        </w:rPr>
        <w:t xml:space="preserve"> „Kanclerz” Trybunału (a nie np. Sekretarz)</w:t>
      </w:r>
      <w:r>
        <w:rPr>
          <w:i/>
          <w:sz w:val="21"/>
          <w:szCs w:val="21"/>
        </w:rPr>
        <w:t xml:space="preserve"> (</w:t>
      </w:r>
      <w:proofErr w:type="spellStart"/>
      <w:r>
        <w:rPr>
          <w:i/>
          <w:sz w:val="21"/>
          <w:szCs w:val="21"/>
        </w:rPr>
        <w:t>Registrar</w:t>
      </w:r>
      <w:proofErr w:type="spellEnd"/>
      <w:r>
        <w:rPr>
          <w:i/>
          <w:sz w:val="21"/>
          <w:szCs w:val="21"/>
        </w:rPr>
        <w:t>)</w:t>
      </w:r>
    </w:p>
    <w:p w:rsidR="00A84C0D" w:rsidRDefault="00A84C0D" w:rsidP="00A84C0D">
      <w:pPr>
        <w:pStyle w:val="Akapitzlist"/>
        <w:numPr>
          <w:ilvl w:val="0"/>
          <w:numId w:val="10"/>
        </w:numPr>
        <w:spacing w:after="100"/>
        <w:ind w:left="360"/>
        <w:rPr>
          <w:i/>
          <w:sz w:val="21"/>
          <w:szCs w:val="21"/>
        </w:rPr>
      </w:pPr>
      <w:r>
        <w:rPr>
          <w:sz w:val="21"/>
          <w:szCs w:val="21"/>
        </w:rPr>
        <w:t xml:space="preserve">„słuszne zadośćuczynienie” (a nie np. tylko zadośćuczynienie) </w:t>
      </w:r>
      <w:r>
        <w:rPr>
          <w:i/>
          <w:sz w:val="21"/>
          <w:szCs w:val="21"/>
        </w:rPr>
        <w:t>(</w:t>
      </w:r>
      <w:proofErr w:type="spellStart"/>
      <w:r>
        <w:rPr>
          <w:i/>
          <w:sz w:val="21"/>
          <w:szCs w:val="21"/>
        </w:rPr>
        <w:t>just</w:t>
      </w:r>
      <w:proofErr w:type="spellEnd"/>
      <w:r>
        <w:rPr>
          <w:i/>
          <w:sz w:val="21"/>
          <w:szCs w:val="21"/>
        </w:rPr>
        <w:t xml:space="preserve"> </w:t>
      </w:r>
      <w:proofErr w:type="spellStart"/>
      <w:r>
        <w:rPr>
          <w:i/>
          <w:sz w:val="21"/>
          <w:szCs w:val="21"/>
        </w:rPr>
        <w:t>satisfaction</w:t>
      </w:r>
      <w:proofErr w:type="spellEnd"/>
      <w:r>
        <w:rPr>
          <w:i/>
          <w:sz w:val="21"/>
          <w:szCs w:val="21"/>
        </w:rPr>
        <w:t>)</w:t>
      </w:r>
    </w:p>
    <w:p w:rsidR="00A84C0D" w:rsidRDefault="00A84C0D" w:rsidP="00A84C0D">
      <w:pPr>
        <w:pStyle w:val="Akapitzlist"/>
        <w:numPr>
          <w:ilvl w:val="0"/>
          <w:numId w:val="10"/>
        </w:numPr>
        <w:spacing w:after="100"/>
        <w:ind w:left="360"/>
        <w:rPr>
          <w:i/>
          <w:sz w:val="21"/>
          <w:szCs w:val="21"/>
        </w:rPr>
      </w:pPr>
      <w:r>
        <w:rPr>
          <w:sz w:val="21"/>
          <w:szCs w:val="21"/>
        </w:rPr>
        <w:t>„opinia odrębna”</w:t>
      </w:r>
      <w:r>
        <w:rPr>
          <w:i/>
          <w:sz w:val="21"/>
          <w:szCs w:val="21"/>
        </w:rPr>
        <w:t xml:space="preserve"> (</w:t>
      </w:r>
      <w:proofErr w:type="spellStart"/>
      <w:r>
        <w:rPr>
          <w:i/>
          <w:sz w:val="21"/>
          <w:szCs w:val="21"/>
        </w:rPr>
        <w:t>separate</w:t>
      </w:r>
      <w:proofErr w:type="spellEnd"/>
      <w:r>
        <w:rPr>
          <w:i/>
          <w:sz w:val="21"/>
          <w:szCs w:val="21"/>
        </w:rPr>
        <w:t xml:space="preserve"> </w:t>
      </w:r>
      <w:proofErr w:type="spellStart"/>
      <w:r>
        <w:rPr>
          <w:i/>
          <w:sz w:val="21"/>
          <w:szCs w:val="21"/>
        </w:rPr>
        <w:t>opinion</w:t>
      </w:r>
      <w:proofErr w:type="spellEnd"/>
      <w:r>
        <w:rPr>
          <w:i/>
          <w:sz w:val="21"/>
          <w:szCs w:val="21"/>
        </w:rPr>
        <w:t xml:space="preserve">), </w:t>
      </w:r>
      <w:r>
        <w:rPr>
          <w:sz w:val="21"/>
          <w:szCs w:val="21"/>
        </w:rPr>
        <w:t>zgodna opinia odrębna</w:t>
      </w:r>
      <w:r>
        <w:rPr>
          <w:i/>
          <w:sz w:val="21"/>
          <w:szCs w:val="21"/>
        </w:rPr>
        <w:t xml:space="preserve"> (</w:t>
      </w:r>
      <w:proofErr w:type="spellStart"/>
      <w:r>
        <w:rPr>
          <w:i/>
          <w:sz w:val="21"/>
          <w:szCs w:val="21"/>
        </w:rPr>
        <w:t>concurring</w:t>
      </w:r>
      <w:proofErr w:type="spellEnd"/>
      <w:r>
        <w:rPr>
          <w:i/>
          <w:sz w:val="21"/>
          <w:szCs w:val="21"/>
        </w:rPr>
        <w:t xml:space="preserve"> </w:t>
      </w:r>
      <w:proofErr w:type="spellStart"/>
      <w:r>
        <w:rPr>
          <w:i/>
          <w:sz w:val="21"/>
          <w:szCs w:val="21"/>
        </w:rPr>
        <w:t>separate</w:t>
      </w:r>
      <w:proofErr w:type="spellEnd"/>
      <w:r>
        <w:rPr>
          <w:i/>
          <w:sz w:val="21"/>
          <w:szCs w:val="21"/>
        </w:rPr>
        <w:t xml:space="preserve"> </w:t>
      </w:r>
      <w:proofErr w:type="spellStart"/>
      <w:r>
        <w:rPr>
          <w:i/>
          <w:sz w:val="21"/>
          <w:szCs w:val="21"/>
        </w:rPr>
        <w:t>opinion</w:t>
      </w:r>
      <w:proofErr w:type="spellEnd"/>
      <w:r>
        <w:rPr>
          <w:i/>
          <w:sz w:val="21"/>
          <w:szCs w:val="21"/>
        </w:rPr>
        <w:t xml:space="preserve">), </w:t>
      </w:r>
      <w:r>
        <w:rPr>
          <w:sz w:val="21"/>
          <w:szCs w:val="21"/>
        </w:rPr>
        <w:t>rozbieżna opinia odrębna</w:t>
      </w:r>
      <w:r>
        <w:rPr>
          <w:i/>
          <w:sz w:val="21"/>
          <w:szCs w:val="21"/>
        </w:rPr>
        <w:t xml:space="preserve"> (</w:t>
      </w:r>
      <w:proofErr w:type="spellStart"/>
      <w:r>
        <w:rPr>
          <w:i/>
          <w:sz w:val="21"/>
          <w:szCs w:val="21"/>
        </w:rPr>
        <w:t>dissenting</w:t>
      </w:r>
      <w:proofErr w:type="spellEnd"/>
      <w:r>
        <w:rPr>
          <w:i/>
          <w:sz w:val="21"/>
          <w:szCs w:val="21"/>
        </w:rPr>
        <w:t xml:space="preserve"> (</w:t>
      </w:r>
      <w:proofErr w:type="spellStart"/>
      <w:r>
        <w:rPr>
          <w:i/>
          <w:sz w:val="21"/>
          <w:szCs w:val="21"/>
        </w:rPr>
        <w:t>separate</w:t>
      </w:r>
      <w:proofErr w:type="spellEnd"/>
      <w:r>
        <w:rPr>
          <w:i/>
          <w:sz w:val="21"/>
          <w:szCs w:val="21"/>
        </w:rPr>
        <w:t xml:space="preserve">) </w:t>
      </w:r>
      <w:proofErr w:type="spellStart"/>
      <w:r>
        <w:rPr>
          <w:i/>
          <w:sz w:val="21"/>
          <w:szCs w:val="21"/>
        </w:rPr>
        <w:t>opinion</w:t>
      </w:r>
      <w:proofErr w:type="spellEnd"/>
      <w:r>
        <w:rPr>
          <w:i/>
          <w:sz w:val="21"/>
          <w:szCs w:val="21"/>
        </w:rPr>
        <w:t>)</w:t>
      </w:r>
    </w:p>
    <w:p w:rsidR="00A84C0D" w:rsidRDefault="00A84C0D" w:rsidP="00A84C0D">
      <w:pPr>
        <w:pStyle w:val="Akapitzlist"/>
        <w:numPr>
          <w:ilvl w:val="0"/>
          <w:numId w:val="10"/>
        </w:numPr>
        <w:spacing w:after="100"/>
        <w:ind w:left="360"/>
        <w:rPr>
          <w:i/>
          <w:sz w:val="21"/>
          <w:szCs w:val="21"/>
        </w:rPr>
      </w:pPr>
      <w:r>
        <w:rPr>
          <w:sz w:val="21"/>
          <w:szCs w:val="21"/>
        </w:rPr>
        <w:t>„ingerencja” w prawo chronione Konwencją (a nie np. naruszenie) jako tłumaczenie „</w:t>
      </w:r>
      <w:proofErr w:type="spellStart"/>
      <w:r>
        <w:rPr>
          <w:i/>
          <w:sz w:val="21"/>
          <w:szCs w:val="21"/>
        </w:rPr>
        <w:t>interference</w:t>
      </w:r>
      <w:proofErr w:type="spellEnd"/>
      <w:r>
        <w:rPr>
          <w:i/>
          <w:sz w:val="21"/>
          <w:szCs w:val="21"/>
        </w:rPr>
        <w:t>”</w:t>
      </w:r>
    </w:p>
    <w:p w:rsidR="00A84C0D" w:rsidRDefault="00A84C0D" w:rsidP="00A84C0D">
      <w:pPr>
        <w:pStyle w:val="Akapitzlist"/>
        <w:numPr>
          <w:ilvl w:val="0"/>
          <w:numId w:val="10"/>
        </w:numPr>
        <w:spacing w:after="100"/>
        <w:ind w:left="360"/>
        <w:rPr>
          <w:sz w:val="21"/>
          <w:szCs w:val="21"/>
        </w:rPr>
      </w:pPr>
      <w:r>
        <w:rPr>
          <w:sz w:val="21"/>
          <w:szCs w:val="21"/>
        </w:rPr>
        <w:t>oficjalne polskie nazwy państw, aktów prawnych, konwencji, itp.</w:t>
      </w:r>
    </w:p>
    <w:p w:rsidR="008D0888" w:rsidRDefault="008D0888">
      <w:pPr>
        <w:rPr>
          <w:sz w:val="21"/>
          <w:szCs w:val="21"/>
          <w:u w:val="single"/>
        </w:rPr>
      </w:pPr>
      <w:r>
        <w:rPr>
          <w:sz w:val="21"/>
          <w:szCs w:val="21"/>
          <w:u w:val="single"/>
        </w:rPr>
        <w:br w:type="page"/>
      </w:r>
    </w:p>
    <w:p w:rsidR="00A84C0D" w:rsidRDefault="00A84C0D" w:rsidP="00A84C0D">
      <w:pPr>
        <w:spacing w:after="100"/>
        <w:rPr>
          <w:sz w:val="21"/>
          <w:szCs w:val="21"/>
          <w:u w:val="single"/>
        </w:rPr>
      </w:pPr>
      <w:proofErr w:type="spellStart"/>
      <w:r>
        <w:rPr>
          <w:sz w:val="21"/>
          <w:szCs w:val="21"/>
          <w:u w:val="single"/>
        </w:rPr>
        <w:lastRenderedPageBreak/>
        <w:t>Sprawdzić</w:t>
      </w:r>
      <w:proofErr w:type="spellEnd"/>
      <w:r>
        <w:rPr>
          <w:sz w:val="21"/>
          <w:szCs w:val="21"/>
          <w:u w:val="single"/>
        </w:rPr>
        <w:t>:</w:t>
      </w:r>
    </w:p>
    <w:p w:rsidR="00A84C0D" w:rsidRDefault="00A84C0D" w:rsidP="00A84C0D">
      <w:pPr>
        <w:pStyle w:val="Akapitzlist"/>
        <w:numPr>
          <w:ilvl w:val="0"/>
          <w:numId w:val="10"/>
        </w:numPr>
        <w:spacing w:after="100"/>
        <w:ind w:left="360"/>
        <w:rPr>
          <w:sz w:val="21"/>
          <w:szCs w:val="21"/>
        </w:rPr>
      </w:pPr>
      <w:r>
        <w:rPr>
          <w:sz w:val="21"/>
          <w:szCs w:val="21"/>
        </w:rPr>
        <w:t>czy przytoczono precyzyjnie brzmienie przepisów Konwencji tam, gdzie cytuje je Trybunał</w:t>
      </w:r>
    </w:p>
    <w:p w:rsidR="00A84C0D" w:rsidRDefault="00A84C0D" w:rsidP="00A84C0D">
      <w:pPr>
        <w:pStyle w:val="Akapitzlist"/>
        <w:numPr>
          <w:ilvl w:val="0"/>
          <w:numId w:val="10"/>
        </w:numPr>
        <w:spacing w:after="100"/>
        <w:ind w:left="360"/>
        <w:rPr>
          <w:sz w:val="21"/>
          <w:szCs w:val="21"/>
        </w:rPr>
      </w:pPr>
      <w:r>
        <w:rPr>
          <w:sz w:val="21"/>
          <w:szCs w:val="21"/>
        </w:rPr>
        <w:t xml:space="preserve">czy zapis tytułów aktów prawnych (duże, małe litery) jest zgodny z Zasadami Techniki Prawodawczej, tj. ustawa, rozporządzenie małą literą, „Kodeks cywilny”, itp., „Konwencja o ochronie praw człowieka i podstawowych wolności” </w:t>
      </w:r>
    </w:p>
    <w:p w:rsidR="00A84C0D" w:rsidRDefault="00A84C0D" w:rsidP="00A84C0D">
      <w:pPr>
        <w:pStyle w:val="Akapitzlist"/>
        <w:numPr>
          <w:ilvl w:val="0"/>
          <w:numId w:val="10"/>
        </w:numPr>
        <w:spacing w:after="100"/>
        <w:ind w:left="360"/>
        <w:rPr>
          <w:sz w:val="21"/>
          <w:szCs w:val="21"/>
        </w:rPr>
      </w:pPr>
      <w:r>
        <w:rPr>
          <w:sz w:val="21"/>
          <w:szCs w:val="21"/>
        </w:rPr>
        <w:t>czy jest słowo „dnia” lub „w dniu” na początku paragrafów (by unikać niezręcznie wyglądającej zbitki dwóch liczb na początku)</w:t>
      </w:r>
    </w:p>
    <w:p w:rsidR="00A84C0D" w:rsidRDefault="00A84C0D" w:rsidP="00A84C0D">
      <w:pPr>
        <w:pStyle w:val="Akapitzlist"/>
        <w:numPr>
          <w:ilvl w:val="0"/>
          <w:numId w:val="10"/>
        </w:numPr>
        <w:spacing w:after="100"/>
        <w:ind w:left="360"/>
        <w:rPr>
          <w:i/>
          <w:sz w:val="21"/>
          <w:szCs w:val="21"/>
        </w:rPr>
      </w:pPr>
      <w:r>
        <w:rPr>
          <w:sz w:val="21"/>
          <w:szCs w:val="21"/>
        </w:rPr>
        <w:t>czy jest kursywa we fragmentach w obcym języku, np. po łacinie (</w:t>
      </w:r>
      <w:proofErr w:type="spellStart"/>
      <w:r>
        <w:rPr>
          <w:i/>
          <w:sz w:val="21"/>
          <w:szCs w:val="21"/>
        </w:rPr>
        <w:t>ibid</w:t>
      </w:r>
      <w:proofErr w:type="spellEnd"/>
      <w:r>
        <w:rPr>
          <w:i/>
          <w:sz w:val="21"/>
          <w:szCs w:val="21"/>
        </w:rPr>
        <w:t xml:space="preserve">, op. cit.), </w:t>
      </w:r>
      <w:r>
        <w:rPr>
          <w:sz w:val="21"/>
          <w:szCs w:val="21"/>
        </w:rPr>
        <w:t xml:space="preserve">nazwach skarg </w:t>
      </w:r>
    </w:p>
    <w:p w:rsidR="00A84C0D" w:rsidRDefault="00A84C0D" w:rsidP="00A84C0D">
      <w:pPr>
        <w:pStyle w:val="Akapitzlist"/>
        <w:numPr>
          <w:ilvl w:val="0"/>
          <w:numId w:val="10"/>
        </w:numPr>
        <w:spacing w:after="100"/>
        <w:ind w:left="360"/>
        <w:rPr>
          <w:sz w:val="21"/>
          <w:szCs w:val="21"/>
        </w:rPr>
      </w:pPr>
      <w:r>
        <w:rPr>
          <w:sz w:val="21"/>
          <w:szCs w:val="21"/>
        </w:rPr>
        <w:t>czy nie zostało [GC] zamiast [Wielka Izba] lub [WI]</w:t>
      </w:r>
    </w:p>
    <w:p w:rsidR="00A84C0D" w:rsidRDefault="00A84C0D" w:rsidP="00A84C0D">
      <w:pPr>
        <w:pStyle w:val="Akapitzlist"/>
        <w:numPr>
          <w:ilvl w:val="0"/>
          <w:numId w:val="10"/>
        </w:numPr>
        <w:spacing w:after="100"/>
        <w:ind w:left="360"/>
        <w:rPr>
          <w:sz w:val="21"/>
          <w:szCs w:val="21"/>
        </w:rPr>
      </w:pPr>
      <w:r>
        <w:rPr>
          <w:sz w:val="21"/>
          <w:szCs w:val="21"/>
        </w:rPr>
        <w:t xml:space="preserve">czy cudzysłów jest w polskim formacie, Strasburg a nie Strasbourg, </w:t>
      </w:r>
    </w:p>
    <w:p w:rsidR="00A84C0D" w:rsidRDefault="00A84C0D" w:rsidP="00A84C0D">
      <w:pPr>
        <w:pStyle w:val="Akapitzlist"/>
        <w:numPr>
          <w:ilvl w:val="0"/>
          <w:numId w:val="10"/>
        </w:numPr>
        <w:spacing w:after="100"/>
        <w:ind w:left="360"/>
        <w:rPr>
          <w:sz w:val="21"/>
          <w:szCs w:val="21"/>
        </w:rPr>
      </w:pPr>
      <w:r>
        <w:rPr>
          <w:sz w:val="21"/>
          <w:szCs w:val="21"/>
        </w:rPr>
        <w:t>czy przetłumaczono nagłówki strony z nazwą wyroku, czy nie przeskoczyły nagłówki opinii odrębnych</w:t>
      </w:r>
    </w:p>
    <w:p w:rsidR="00A84C0D" w:rsidRDefault="00A84C0D" w:rsidP="00A84C0D">
      <w:pPr>
        <w:pStyle w:val="Akapitzlist"/>
        <w:numPr>
          <w:ilvl w:val="0"/>
          <w:numId w:val="10"/>
        </w:numPr>
        <w:spacing w:after="100"/>
        <w:ind w:left="360"/>
        <w:rPr>
          <w:b/>
          <w:sz w:val="21"/>
          <w:szCs w:val="21"/>
        </w:rPr>
      </w:pPr>
      <w:r>
        <w:rPr>
          <w:b/>
          <w:sz w:val="21"/>
          <w:szCs w:val="21"/>
        </w:rPr>
        <w:t>najistotniejsze: sprawdzić jeszcze raz tłumaczenie sentencji wyroku</w:t>
      </w:r>
    </w:p>
    <w:p w:rsidR="00A84C0D" w:rsidRDefault="00A84C0D" w:rsidP="00A84C0D">
      <w:pPr>
        <w:pStyle w:val="Akapitzlist"/>
        <w:numPr>
          <w:ilvl w:val="0"/>
          <w:numId w:val="10"/>
        </w:numPr>
        <w:spacing w:after="100"/>
        <w:ind w:left="360"/>
        <w:rPr>
          <w:sz w:val="21"/>
          <w:szCs w:val="21"/>
        </w:rPr>
      </w:pPr>
      <w:r>
        <w:rPr>
          <w:sz w:val="21"/>
          <w:szCs w:val="21"/>
        </w:rPr>
        <w:t xml:space="preserve">na koniec zaznaczyć cały tekst i aktywować ponownie sprawdzanie poprawności w języku polskim, tak by zostały podkreślone na czerwono wszystkie ewentualne literówki </w:t>
      </w:r>
    </w:p>
    <w:p w:rsidR="00A84C0D" w:rsidRDefault="00A84C0D" w:rsidP="00A84C0D">
      <w:pPr>
        <w:pStyle w:val="Akapitzlist"/>
        <w:numPr>
          <w:ilvl w:val="0"/>
          <w:numId w:val="10"/>
        </w:numPr>
        <w:spacing w:after="100"/>
        <w:ind w:left="360"/>
        <w:rPr>
          <w:sz w:val="21"/>
          <w:szCs w:val="21"/>
        </w:rPr>
      </w:pPr>
      <w:r>
        <w:rPr>
          <w:sz w:val="21"/>
          <w:szCs w:val="21"/>
        </w:rPr>
        <w:t>przeprowadzić inspekcję dokumentu (opcja w zakładce „Plik – Wyszukaj problemy”), by ewentualnie wychwycić ukryte teksty, komentarze, śledzenie zmian, ewentualnie też wyzerować właściwości, autora, itp. (ale nie stopki i nagłówki)</w:t>
      </w:r>
    </w:p>
    <w:p w:rsidR="00A84C0D" w:rsidRDefault="00A84C0D" w:rsidP="00A84C0D">
      <w:pPr>
        <w:spacing w:after="100"/>
        <w:rPr>
          <w:sz w:val="21"/>
          <w:szCs w:val="21"/>
        </w:rPr>
      </w:pPr>
    </w:p>
    <w:p w:rsidR="00A84C0D" w:rsidRDefault="00A84C0D" w:rsidP="00A84C0D">
      <w:pPr>
        <w:spacing w:after="100"/>
        <w:rPr>
          <w:sz w:val="21"/>
          <w:szCs w:val="21"/>
          <w:u w:val="single"/>
        </w:rPr>
      </w:pPr>
      <w:proofErr w:type="spellStart"/>
      <w:r>
        <w:rPr>
          <w:sz w:val="21"/>
          <w:szCs w:val="21"/>
          <w:u w:val="single"/>
        </w:rPr>
        <w:t>sprawdzić</w:t>
      </w:r>
      <w:proofErr w:type="spellEnd"/>
      <w:r>
        <w:rPr>
          <w:sz w:val="21"/>
          <w:szCs w:val="21"/>
          <w:u w:val="single"/>
        </w:rPr>
        <w:t xml:space="preserve"> </w:t>
      </w:r>
      <w:proofErr w:type="spellStart"/>
      <w:r>
        <w:rPr>
          <w:sz w:val="21"/>
          <w:szCs w:val="21"/>
          <w:u w:val="single"/>
        </w:rPr>
        <w:t>formatowanie</w:t>
      </w:r>
      <w:proofErr w:type="spellEnd"/>
    </w:p>
    <w:p w:rsidR="00A84C0D" w:rsidRDefault="00A84C0D" w:rsidP="00A84C0D">
      <w:pPr>
        <w:pStyle w:val="Akapitzlist"/>
        <w:numPr>
          <w:ilvl w:val="0"/>
          <w:numId w:val="10"/>
        </w:numPr>
        <w:spacing w:after="100"/>
        <w:ind w:left="360"/>
        <w:rPr>
          <w:sz w:val="21"/>
          <w:szCs w:val="21"/>
        </w:rPr>
      </w:pPr>
      <w:r>
        <w:rPr>
          <w:sz w:val="21"/>
          <w:szCs w:val="21"/>
        </w:rPr>
        <w:t xml:space="preserve">uwaga – teksty Trybunału zawierają automatycznie aktualizowaną numerację. W przypadku, gdy niektóre paragrafy są pomijane lub niektóre numery paragrafów wstawiane są ręcznie, może to powodować „posypanie się numeracji”. Nie należy też poprawiać numerów na tekście zawierającym pola aktywne, pole należy wykasować i całość wpisać ręcznie (aby zobaczyć pola aktywne – nacisnąć Alt + F9 – wyszukać poprzez „seq”). Zalecamy wpisywać wszystkie numery ręcznie. </w:t>
      </w:r>
    </w:p>
    <w:p w:rsidR="00A84C0D" w:rsidRDefault="00A84C0D" w:rsidP="00A84C0D">
      <w:pPr>
        <w:pStyle w:val="Akapitzlist"/>
        <w:numPr>
          <w:ilvl w:val="0"/>
          <w:numId w:val="10"/>
        </w:numPr>
        <w:spacing w:after="100"/>
        <w:ind w:left="360"/>
        <w:rPr>
          <w:sz w:val="21"/>
          <w:szCs w:val="21"/>
        </w:rPr>
      </w:pPr>
      <w:r>
        <w:rPr>
          <w:sz w:val="21"/>
          <w:szCs w:val="21"/>
        </w:rPr>
        <w:t>uwaga mogą się też pojawiać odsyłacze do paragrafów w wyroku lub linki do innych wyroków Trybunału (aby zobaczyć: Alt + F9, wyszukać poprzez „</w:t>
      </w:r>
      <w:proofErr w:type="spellStart"/>
      <w:r>
        <w:rPr>
          <w:sz w:val="21"/>
          <w:szCs w:val="21"/>
        </w:rPr>
        <w:t>hyperlink</w:t>
      </w:r>
      <w:proofErr w:type="spellEnd"/>
      <w:r>
        <w:rPr>
          <w:sz w:val="21"/>
          <w:szCs w:val="21"/>
        </w:rPr>
        <w:t>” lub „ref”). Ponownie, najlepiej odesłania do paragrafów wpisywać ręcznie, podobnie linki.</w:t>
      </w:r>
    </w:p>
    <w:p w:rsidR="00A84C0D" w:rsidRDefault="00A84C0D" w:rsidP="00A84C0D">
      <w:pPr>
        <w:pStyle w:val="Akapitzlist"/>
        <w:numPr>
          <w:ilvl w:val="0"/>
          <w:numId w:val="10"/>
        </w:numPr>
        <w:spacing w:after="100"/>
        <w:ind w:left="360"/>
        <w:rPr>
          <w:sz w:val="21"/>
          <w:szCs w:val="21"/>
        </w:rPr>
      </w:pPr>
      <w:r>
        <w:rPr>
          <w:sz w:val="21"/>
          <w:szCs w:val="21"/>
        </w:rPr>
        <w:t xml:space="preserve">nie należy stosować adjustacji (przenoszenia krótkich słów do następnej linijki) poprzez </w:t>
      </w:r>
      <w:proofErr w:type="spellStart"/>
      <w:r>
        <w:rPr>
          <w:sz w:val="21"/>
          <w:szCs w:val="21"/>
        </w:rPr>
        <w:t>Spacja+Enter</w:t>
      </w:r>
      <w:proofErr w:type="spellEnd"/>
      <w:r>
        <w:rPr>
          <w:sz w:val="21"/>
          <w:szCs w:val="21"/>
        </w:rPr>
        <w:t xml:space="preserve">, gdyż powoduje to niewłaściwe wyświetlanie tekstu w </w:t>
      </w:r>
      <w:proofErr w:type="spellStart"/>
      <w:r>
        <w:rPr>
          <w:sz w:val="21"/>
          <w:szCs w:val="21"/>
        </w:rPr>
        <w:t>Hudocu</w:t>
      </w:r>
      <w:proofErr w:type="spellEnd"/>
      <w:r>
        <w:rPr>
          <w:sz w:val="21"/>
          <w:szCs w:val="21"/>
        </w:rPr>
        <w:t xml:space="preserve">. W razie potrzeby stosować </w:t>
      </w:r>
      <w:proofErr w:type="spellStart"/>
      <w:r>
        <w:rPr>
          <w:sz w:val="21"/>
          <w:szCs w:val="21"/>
        </w:rPr>
        <w:t>CTRL+SHIFT+Spacja</w:t>
      </w:r>
      <w:proofErr w:type="spellEnd"/>
    </w:p>
    <w:p w:rsidR="00A84C0D" w:rsidRDefault="00A84C0D" w:rsidP="00A84C0D">
      <w:pPr>
        <w:pStyle w:val="Akapitzlist"/>
        <w:spacing w:after="100"/>
        <w:ind w:left="360"/>
        <w:rPr>
          <w:sz w:val="21"/>
          <w:szCs w:val="21"/>
        </w:rPr>
      </w:pPr>
      <w:r>
        <w:rPr>
          <w:sz w:val="21"/>
          <w:szCs w:val="21"/>
        </w:rPr>
        <w:t xml:space="preserve"> </w:t>
      </w:r>
    </w:p>
    <w:p w:rsidR="00A85F08" w:rsidRPr="00BD0808" w:rsidRDefault="00A85F08" w:rsidP="00A84C0D">
      <w:pPr>
        <w:spacing w:after="120" w:line="240" w:lineRule="auto"/>
        <w:jc w:val="center"/>
        <w:rPr>
          <w:b/>
          <w:u w:val="single"/>
          <w:lang w:val="en-US"/>
        </w:rPr>
      </w:pPr>
      <w:bookmarkStart w:id="0" w:name="_GoBack"/>
      <w:bookmarkEnd w:id="0"/>
    </w:p>
    <w:sectPr w:rsidR="00A85F08" w:rsidRPr="00BD0808" w:rsidSect="00AD454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CF" w:rsidRDefault="005128CF" w:rsidP="00195122">
      <w:pPr>
        <w:spacing w:after="0" w:line="240" w:lineRule="auto"/>
      </w:pPr>
      <w:r>
        <w:separator/>
      </w:r>
    </w:p>
  </w:endnote>
  <w:endnote w:type="continuationSeparator" w:id="0">
    <w:p w:rsidR="005128CF" w:rsidRDefault="005128CF" w:rsidP="0019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4753"/>
      <w:docPartObj>
        <w:docPartGallery w:val="Page Numbers (Bottom of Page)"/>
        <w:docPartUnique/>
      </w:docPartObj>
    </w:sdtPr>
    <w:sdtEndPr/>
    <w:sdtContent>
      <w:p w:rsidR="00134773" w:rsidRDefault="00134773">
        <w:pPr>
          <w:pStyle w:val="Stopka"/>
          <w:jc w:val="right"/>
        </w:pPr>
        <w:r>
          <w:fldChar w:fldCharType="begin"/>
        </w:r>
        <w:r>
          <w:instrText>PAGE   \* MERGEFORMAT</w:instrText>
        </w:r>
        <w:r>
          <w:fldChar w:fldCharType="separate"/>
        </w:r>
        <w:r w:rsidR="008D0888" w:rsidRPr="008D0888">
          <w:rPr>
            <w:noProof/>
            <w:lang w:val="pl-PL"/>
          </w:rPr>
          <w:t>2</w:t>
        </w:r>
        <w:r>
          <w:fldChar w:fldCharType="end"/>
        </w:r>
      </w:p>
    </w:sdtContent>
  </w:sdt>
  <w:p w:rsidR="00134773" w:rsidRDefault="001347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3604"/>
      <w:docPartObj>
        <w:docPartGallery w:val="Page Numbers (Bottom of Page)"/>
        <w:docPartUnique/>
      </w:docPartObj>
    </w:sdtPr>
    <w:sdtEndPr/>
    <w:sdtContent>
      <w:p w:rsidR="00B73148" w:rsidRDefault="00B73148">
        <w:pPr>
          <w:pStyle w:val="Stopka"/>
          <w:jc w:val="right"/>
        </w:pPr>
        <w:r>
          <w:fldChar w:fldCharType="begin"/>
        </w:r>
        <w:r>
          <w:instrText>PAGE   \* MERGEFORMAT</w:instrText>
        </w:r>
        <w:r>
          <w:fldChar w:fldCharType="separate"/>
        </w:r>
        <w:r w:rsidR="008D0888" w:rsidRPr="008D0888">
          <w:rPr>
            <w:noProof/>
            <w:lang w:val="pl-PL"/>
          </w:rPr>
          <w:t>1</w:t>
        </w:r>
        <w:r>
          <w:fldChar w:fldCharType="end"/>
        </w:r>
      </w:p>
    </w:sdtContent>
  </w:sdt>
  <w:p w:rsidR="00B73148" w:rsidRDefault="00B731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CF" w:rsidRDefault="005128CF" w:rsidP="00195122">
      <w:pPr>
        <w:spacing w:after="0" w:line="240" w:lineRule="auto"/>
      </w:pPr>
      <w:r>
        <w:separator/>
      </w:r>
    </w:p>
  </w:footnote>
  <w:footnote w:type="continuationSeparator" w:id="0">
    <w:p w:rsidR="005128CF" w:rsidRDefault="005128CF" w:rsidP="0019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48" w:rsidRDefault="00AD4548">
    <w:pPr>
      <w:pStyle w:val="Nagwek"/>
    </w:pPr>
    <w:r>
      <w:rPr>
        <w:noProof/>
        <w:lang w:val="pl-PL" w:eastAsia="pl-PL"/>
      </w:rPr>
      <w:drawing>
        <wp:anchor distT="0" distB="0" distL="114300" distR="114300" simplePos="0" relativeHeight="251659264" behindDoc="1" locked="0" layoutInCell="1" allowOverlap="1" wp14:anchorId="4C293F55" wp14:editId="656F7359">
          <wp:simplePos x="0" y="0"/>
          <wp:positionH relativeFrom="page">
            <wp:posOffset>152400</wp:posOffset>
          </wp:positionH>
          <wp:positionV relativeFrom="page">
            <wp:posOffset>152400</wp:posOffset>
          </wp:positionV>
          <wp:extent cx="2529205" cy="2451100"/>
          <wp:effectExtent l="0" t="0" r="4445" b="6350"/>
          <wp:wrapNone/>
          <wp:docPr id="1" name="Obraz 1" descr="dept_ds_postepowan PL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ds_postepowan PL 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ED7"/>
    <w:multiLevelType w:val="hybridMultilevel"/>
    <w:tmpl w:val="CC78A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AB24AD"/>
    <w:multiLevelType w:val="hybridMultilevel"/>
    <w:tmpl w:val="4F8627D4"/>
    <w:lvl w:ilvl="0" w:tplc="0415000B">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
    <w:nsid w:val="2BF470E2"/>
    <w:multiLevelType w:val="hybridMultilevel"/>
    <w:tmpl w:val="80A6CCE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C394BD8"/>
    <w:multiLevelType w:val="hybridMultilevel"/>
    <w:tmpl w:val="CA26BBC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934172A"/>
    <w:multiLevelType w:val="hybridMultilevel"/>
    <w:tmpl w:val="BF6C3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965137"/>
    <w:multiLevelType w:val="hybridMultilevel"/>
    <w:tmpl w:val="114289B8"/>
    <w:lvl w:ilvl="0" w:tplc="FF8E9B7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nsid w:val="4E7E0A14"/>
    <w:multiLevelType w:val="hybridMultilevel"/>
    <w:tmpl w:val="80B29D70"/>
    <w:lvl w:ilvl="0" w:tplc="0415000B">
      <w:start w:val="1"/>
      <w:numFmt w:val="bullet"/>
      <w:lvlText w:val=""/>
      <w:lvlJc w:val="left"/>
      <w:pPr>
        <w:ind w:left="720" w:hanging="360"/>
      </w:pPr>
      <w:rPr>
        <w:rFonts w:ascii="Wingdings" w:hAnsi="Wingdings" w:hint="default"/>
      </w:rPr>
    </w:lvl>
    <w:lvl w:ilvl="1" w:tplc="3EEA1B96">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3D13F20"/>
    <w:multiLevelType w:val="hybridMultilevel"/>
    <w:tmpl w:val="DA8E2F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83043DC"/>
    <w:multiLevelType w:val="hybridMultilevel"/>
    <w:tmpl w:val="0F3CC7C4"/>
    <w:lvl w:ilvl="0" w:tplc="78FCCEE0">
      <w:start w:val="19"/>
      <w:numFmt w:val="bullet"/>
      <w:lvlText w:val="-"/>
      <w:lvlJc w:val="left"/>
      <w:pPr>
        <w:ind w:left="720" w:hanging="360"/>
      </w:pPr>
      <w:rPr>
        <w:rFonts w:ascii="Calibri" w:eastAsiaTheme="minorHAnsi" w:hAnsi="Calibri"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EC26913"/>
    <w:multiLevelType w:val="hybridMultilevel"/>
    <w:tmpl w:val="DA965C0A"/>
    <w:lvl w:ilvl="0" w:tplc="FFFFFFFF">
      <w:start w:val="1"/>
      <w:numFmt w:val="lowerLetter"/>
      <w:lvlText w:val="(%1)"/>
      <w:lvlJc w:val="left"/>
      <w:pPr>
        <w:tabs>
          <w:tab w:val="num" w:pos="706"/>
        </w:tabs>
        <w:ind w:left="706" w:hanging="360"/>
      </w:pPr>
      <w:rPr>
        <w:rFonts w:hint="default"/>
      </w:rPr>
    </w:lvl>
    <w:lvl w:ilvl="1" w:tplc="FFFFFFFF" w:tentative="1">
      <w:start w:val="1"/>
      <w:numFmt w:val="lowerLetter"/>
      <w:lvlText w:val="%2."/>
      <w:lvlJc w:val="left"/>
      <w:pPr>
        <w:tabs>
          <w:tab w:val="num" w:pos="1426"/>
        </w:tabs>
        <w:ind w:left="1426" w:hanging="360"/>
      </w:pPr>
    </w:lvl>
    <w:lvl w:ilvl="2" w:tplc="FFFFFFFF" w:tentative="1">
      <w:start w:val="1"/>
      <w:numFmt w:val="lowerRoman"/>
      <w:lvlText w:val="%3."/>
      <w:lvlJc w:val="right"/>
      <w:pPr>
        <w:tabs>
          <w:tab w:val="num" w:pos="2146"/>
        </w:tabs>
        <w:ind w:left="2146" w:hanging="180"/>
      </w:pPr>
    </w:lvl>
    <w:lvl w:ilvl="3" w:tplc="FFFFFFFF" w:tentative="1">
      <w:start w:val="1"/>
      <w:numFmt w:val="decimal"/>
      <w:lvlText w:val="%4."/>
      <w:lvlJc w:val="left"/>
      <w:pPr>
        <w:tabs>
          <w:tab w:val="num" w:pos="2866"/>
        </w:tabs>
        <w:ind w:left="2866" w:hanging="360"/>
      </w:pPr>
    </w:lvl>
    <w:lvl w:ilvl="4" w:tplc="FFFFFFFF" w:tentative="1">
      <w:start w:val="1"/>
      <w:numFmt w:val="lowerLetter"/>
      <w:lvlText w:val="%5."/>
      <w:lvlJc w:val="left"/>
      <w:pPr>
        <w:tabs>
          <w:tab w:val="num" w:pos="3586"/>
        </w:tabs>
        <w:ind w:left="3586" w:hanging="360"/>
      </w:pPr>
    </w:lvl>
    <w:lvl w:ilvl="5" w:tplc="FFFFFFFF" w:tentative="1">
      <w:start w:val="1"/>
      <w:numFmt w:val="lowerRoman"/>
      <w:lvlText w:val="%6."/>
      <w:lvlJc w:val="right"/>
      <w:pPr>
        <w:tabs>
          <w:tab w:val="num" w:pos="4306"/>
        </w:tabs>
        <w:ind w:left="4306" w:hanging="180"/>
      </w:pPr>
    </w:lvl>
    <w:lvl w:ilvl="6" w:tplc="FFFFFFFF" w:tentative="1">
      <w:start w:val="1"/>
      <w:numFmt w:val="decimal"/>
      <w:lvlText w:val="%7."/>
      <w:lvlJc w:val="left"/>
      <w:pPr>
        <w:tabs>
          <w:tab w:val="num" w:pos="5026"/>
        </w:tabs>
        <w:ind w:left="5026" w:hanging="360"/>
      </w:pPr>
    </w:lvl>
    <w:lvl w:ilvl="7" w:tplc="FFFFFFFF" w:tentative="1">
      <w:start w:val="1"/>
      <w:numFmt w:val="lowerLetter"/>
      <w:lvlText w:val="%8."/>
      <w:lvlJc w:val="left"/>
      <w:pPr>
        <w:tabs>
          <w:tab w:val="num" w:pos="5746"/>
        </w:tabs>
        <w:ind w:left="5746" w:hanging="360"/>
      </w:pPr>
    </w:lvl>
    <w:lvl w:ilvl="8" w:tplc="FFFFFFFF" w:tentative="1">
      <w:start w:val="1"/>
      <w:numFmt w:val="lowerRoman"/>
      <w:lvlText w:val="%9."/>
      <w:lvlJc w:val="right"/>
      <w:pPr>
        <w:tabs>
          <w:tab w:val="num" w:pos="6466"/>
        </w:tabs>
        <w:ind w:left="6466" w:hanging="180"/>
      </w:pPr>
    </w:lvl>
  </w:abstractNum>
  <w:num w:numId="1">
    <w:abstractNumId w:val="9"/>
  </w:num>
  <w:num w:numId="2">
    <w:abstractNumId w:val="8"/>
  </w:num>
  <w:num w:numId="3">
    <w:abstractNumId w:val="0"/>
  </w:num>
  <w:num w:numId="4">
    <w:abstractNumId w:val="4"/>
  </w:num>
  <w:num w:numId="5">
    <w:abstractNumId w:val="1"/>
  </w:num>
  <w:num w:numId="6">
    <w:abstractNumId w:val="5"/>
  </w:num>
  <w:num w:numId="7">
    <w:abstractNumId w:val="3"/>
  </w:num>
  <w:num w:numId="8">
    <w:abstractNumId w:val="2"/>
  </w:num>
  <w:num w:numId="9">
    <w:abstractNumId w:val="7"/>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82"/>
    <w:rsid w:val="0000012A"/>
    <w:rsid w:val="000001E6"/>
    <w:rsid w:val="00016C7D"/>
    <w:rsid w:val="0002237B"/>
    <w:rsid w:val="000223BF"/>
    <w:rsid w:val="000561FA"/>
    <w:rsid w:val="00061ADB"/>
    <w:rsid w:val="00075AD1"/>
    <w:rsid w:val="00085274"/>
    <w:rsid w:val="00103B03"/>
    <w:rsid w:val="001041E2"/>
    <w:rsid w:val="0010668A"/>
    <w:rsid w:val="00114008"/>
    <w:rsid w:val="0011458C"/>
    <w:rsid w:val="001223F1"/>
    <w:rsid w:val="0012536C"/>
    <w:rsid w:val="00134773"/>
    <w:rsid w:val="001455AD"/>
    <w:rsid w:val="00150A1E"/>
    <w:rsid w:val="00155353"/>
    <w:rsid w:val="00167043"/>
    <w:rsid w:val="001706A3"/>
    <w:rsid w:val="00177D15"/>
    <w:rsid w:val="00186210"/>
    <w:rsid w:val="00186C51"/>
    <w:rsid w:val="00195122"/>
    <w:rsid w:val="001B196A"/>
    <w:rsid w:val="001C568E"/>
    <w:rsid w:val="001E4FE3"/>
    <w:rsid w:val="001F43A0"/>
    <w:rsid w:val="001F5238"/>
    <w:rsid w:val="001F5C7C"/>
    <w:rsid w:val="00205D82"/>
    <w:rsid w:val="00223D9E"/>
    <w:rsid w:val="002409A3"/>
    <w:rsid w:val="00244544"/>
    <w:rsid w:val="002455B0"/>
    <w:rsid w:val="00250EC3"/>
    <w:rsid w:val="00293527"/>
    <w:rsid w:val="002940F5"/>
    <w:rsid w:val="002A1F04"/>
    <w:rsid w:val="002A5575"/>
    <w:rsid w:val="002C2B7D"/>
    <w:rsid w:val="002C3E45"/>
    <w:rsid w:val="002C74B4"/>
    <w:rsid w:val="002E4990"/>
    <w:rsid w:val="002F30E8"/>
    <w:rsid w:val="00307DC7"/>
    <w:rsid w:val="003314D8"/>
    <w:rsid w:val="00335AE0"/>
    <w:rsid w:val="00345F5C"/>
    <w:rsid w:val="00351C0C"/>
    <w:rsid w:val="0036428B"/>
    <w:rsid w:val="003822CB"/>
    <w:rsid w:val="00395FBB"/>
    <w:rsid w:val="003C3302"/>
    <w:rsid w:val="003D603D"/>
    <w:rsid w:val="003D7EB1"/>
    <w:rsid w:val="003E1092"/>
    <w:rsid w:val="003E626A"/>
    <w:rsid w:val="003F1809"/>
    <w:rsid w:val="00402EBB"/>
    <w:rsid w:val="004030C3"/>
    <w:rsid w:val="004118CF"/>
    <w:rsid w:val="00412122"/>
    <w:rsid w:val="00420BE3"/>
    <w:rsid w:val="00425E27"/>
    <w:rsid w:val="00456F80"/>
    <w:rsid w:val="004650D6"/>
    <w:rsid w:val="00487A3C"/>
    <w:rsid w:val="004939F2"/>
    <w:rsid w:val="00493FB2"/>
    <w:rsid w:val="004A2912"/>
    <w:rsid w:val="004A58FA"/>
    <w:rsid w:val="004B0F91"/>
    <w:rsid w:val="004B1C5A"/>
    <w:rsid w:val="004E002D"/>
    <w:rsid w:val="004E3D15"/>
    <w:rsid w:val="0050135E"/>
    <w:rsid w:val="0050252E"/>
    <w:rsid w:val="00502BC5"/>
    <w:rsid w:val="005032FD"/>
    <w:rsid w:val="00507582"/>
    <w:rsid w:val="005128CF"/>
    <w:rsid w:val="00532644"/>
    <w:rsid w:val="0059390B"/>
    <w:rsid w:val="005A5A57"/>
    <w:rsid w:val="005A63B1"/>
    <w:rsid w:val="005D0B6F"/>
    <w:rsid w:val="005D2900"/>
    <w:rsid w:val="005F2A07"/>
    <w:rsid w:val="006011B8"/>
    <w:rsid w:val="006041DC"/>
    <w:rsid w:val="006200C6"/>
    <w:rsid w:val="00624966"/>
    <w:rsid w:val="006559F3"/>
    <w:rsid w:val="0067165F"/>
    <w:rsid w:val="00676083"/>
    <w:rsid w:val="006C2F17"/>
    <w:rsid w:val="006D3A6B"/>
    <w:rsid w:val="006D752C"/>
    <w:rsid w:val="006E3BFE"/>
    <w:rsid w:val="006F3164"/>
    <w:rsid w:val="00720199"/>
    <w:rsid w:val="00722784"/>
    <w:rsid w:val="00731FE0"/>
    <w:rsid w:val="00740BA1"/>
    <w:rsid w:val="00761A35"/>
    <w:rsid w:val="00775A7D"/>
    <w:rsid w:val="00780A99"/>
    <w:rsid w:val="0078425D"/>
    <w:rsid w:val="007A1D91"/>
    <w:rsid w:val="007D2951"/>
    <w:rsid w:val="007D6BD9"/>
    <w:rsid w:val="007E4944"/>
    <w:rsid w:val="007F285F"/>
    <w:rsid w:val="00803759"/>
    <w:rsid w:val="0081648A"/>
    <w:rsid w:val="00847478"/>
    <w:rsid w:val="0085324C"/>
    <w:rsid w:val="00857C01"/>
    <w:rsid w:val="00860D8D"/>
    <w:rsid w:val="00872A4C"/>
    <w:rsid w:val="00884494"/>
    <w:rsid w:val="00887D32"/>
    <w:rsid w:val="008929D1"/>
    <w:rsid w:val="008A3867"/>
    <w:rsid w:val="008A7B8E"/>
    <w:rsid w:val="008C011D"/>
    <w:rsid w:val="008D0888"/>
    <w:rsid w:val="00900877"/>
    <w:rsid w:val="00906EA6"/>
    <w:rsid w:val="00931857"/>
    <w:rsid w:val="00934603"/>
    <w:rsid w:val="00936B84"/>
    <w:rsid w:val="00947ED5"/>
    <w:rsid w:val="00970083"/>
    <w:rsid w:val="009724E0"/>
    <w:rsid w:val="00975E1B"/>
    <w:rsid w:val="00986D8D"/>
    <w:rsid w:val="009871F1"/>
    <w:rsid w:val="00990C19"/>
    <w:rsid w:val="00993987"/>
    <w:rsid w:val="009C0AEE"/>
    <w:rsid w:val="009F0EBE"/>
    <w:rsid w:val="00A03669"/>
    <w:rsid w:val="00A0767F"/>
    <w:rsid w:val="00A51083"/>
    <w:rsid w:val="00A701AD"/>
    <w:rsid w:val="00A83072"/>
    <w:rsid w:val="00A84C0D"/>
    <w:rsid w:val="00A85F08"/>
    <w:rsid w:val="00A86BF9"/>
    <w:rsid w:val="00A91DF3"/>
    <w:rsid w:val="00AB1CE8"/>
    <w:rsid w:val="00AB318C"/>
    <w:rsid w:val="00AB49BB"/>
    <w:rsid w:val="00AC28D2"/>
    <w:rsid w:val="00AC368D"/>
    <w:rsid w:val="00AD4548"/>
    <w:rsid w:val="00AE2699"/>
    <w:rsid w:val="00AE593B"/>
    <w:rsid w:val="00B05ED7"/>
    <w:rsid w:val="00B108F7"/>
    <w:rsid w:val="00B1382D"/>
    <w:rsid w:val="00B26372"/>
    <w:rsid w:val="00B45044"/>
    <w:rsid w:val="00B72CBD"/>
    <w:rsid w:val="00B73148"/>
    <w:rsid w:val="00B8050E"/>
    <w:rsid w:val="00B86E45"/>
    <w:rsid w:val="00B90961"/>
    <w:rsid w:val="00BB5F64"/>
    <w:rsid w:val="00BD0808"/>
    <w:rsid w:val="00BE173D"/>
    <w:rsid w:val="00BF2519"/>
    <w:rsid w:val="00BF71BA"/>
    <w:rsid w:val="00C22546"/>
    <w:rsid w:val="00C2684A"/>
    <w:rsid w:val="00C46B4F"/>
    <w:rsid w:val="00C73AFF"/>
    <w:rsid w:val="00C772F6"/>
    <w:rsid w:val="00C820A8"/>
    <w:rsid w:val="00C8325E"/>
    <w:rsid w:val="00C9206B"/>
    <w:rsid w:val="00C93B25"/>
    <w:rsid w:val="00C96785"/>
    <w:rsid w:val="00CB0F1D"/>
    <w:rsid w:val="00CC208F"/>
    <w:rsid w:val="00CD1A7C"/>
    <w:rsid w:val="00CD4BA7"/>
    <w:rsid w:val="00D135AA"/>
    <w:rsid w:val="00D23580"/>
    <w:rsid w:val="00D2654F"/>
    <w:rsid w:val="00D31895"/>
    <w:rsid w:val="00D4640E"/>
    <w:rsid w:val="00D61D1C"/>
    <w:rsid w:val="00D641F3"/>
    <w:rsid w:val="00D72272"/>
    <w:rsid w:val="00D919B2"/>
    <w:rsid w:val="00DA617B"/>
    <w:rsid w:val="00DA6DA7"/>
    <w:rsid w:val="00DC35B4"/>
    <w:rsid w:val="00DC4066"/>
    <w:rsid w:val="00DF35BA"/>
    <w:rsid w:val="00E142A3"/>
    <w:rsid w:val="00E162D3"/>
    <w:rsid w:val="00E16E05"/>
    <w:rsid w:val="00E3001B"/>
    <w:rsid w:val="00E3206D"/>
    <w:rsid w:val="00E45C3A"/>
    <w:rsid w:val="00E53EA6"/>
    <w:rsid w:val="00E626E8"/>
    <w:rsid w:val="00E62C26"/>
    <w:rsid w:val="00E82996"/>
    <w:rsid w:val="00EA6F1E"/>
    <w:rsid w:val="00EC55DA"/>
    <w:rsid w:val="00EE3EB8"/>
    <w:rsid w:val="00F17EB4"/>
    <w:rsid w:val="00F271D5"/>
    <w:rsid w:val="00F429F0"/>
    <w:rsid w:val="00F47B18"/>
    <w:rsid w:val="00F56597"/>
    <w:rsid w:val="00F679BD"/>
    <w:rsid w:val="00F85F7A"/>
    <w:rsid w:val="00F9177B"/>
    <w:rsid w:val="00F936E3"/>
    <w:rsid w:val="00F93A7A"/>
    <w:rsid w:val="00FA1490"/>
    <w:rsid w:val="00FA1D0B"/>
    <w:rsid w:val="00FD686C"/>
    <w:rsid w:val="00FF3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dfc50a6a">
    <w:name w:val="sdfc50a6a"/>
    <w:basedOn w:val="Domylnaczcionkaakapitu"/>
    <w:rsid w:val="00A0767F"/>
  </w:style>
  <w:style w:type="character" w:styleId="Hipercze">
    <w:name w:val="Hyperlink"/>
    <w:basedOn w:val="Domylnaczcionkaakapitu"/>
    <w:uiPriority w:val="99"/>
    <w:unhideWhenUsed/>
    <w:rsid w:val="00F271D5"/>
    <w:rPr>
      <w:color w:val="0000FF" w:themeColor="hyperlink"/>
      <w:u w:val="single"/>
    </w:rPr>
  </w:style>
  <w:style w:type="character" w:customStyle="1" w:styleId="sb8d990e2">
    <w:name w:val="sb8d990e2"/>
    <w:basedOn w:val="Domylnaczcionkaakapitu"/>
    <w:rsid w:val="00F271D5"/>
  </w:style>
  <w:style w:type="paragraph" w:customStyle="1" w:styleId="JuParaLast">
    <w:name w:val="Ju_Para_Last"/>
    <w:basedOn w:val="Normalny"/>
    <w:next w:val="Normalny"/>
    <w:rsid w:val="0000012A"/>
    <w:pPr>
      <w:suppressAutoHyphens/>
      <w:spacing w:before="240" w:after="0" w:line="240" w:lineRule="auto"/>
      <w:ind w:firstLine="284"/>
      <w:jc w:val="both"/>
    </w:pPr>
    <w:rPr>
      <w:rFonts w:ascii="Times New Roman" w:eastAsia="Times New Roman" w:hAnsi="Times New Roman" w:cs="Times New Roman"/>
      <w:sz w:val="24"/>
      <w:szCs w:val="20"/>
      <w:lang w:eastAsia="fr-FR"/>
    </w:rPr>
  </w:style>
  <w:style w:type="paragraph" w:customStyle="1" w:styleId="JuList">
    <w:name w:val="Ju_List"/>
    <w:basedOn w:val="Normalny"/>
    <w:rsid w:val="005A63B1"/>
    <w:pPr>
      <w:suppressAutoHyphens/>
      <w:spacing w:after="0" w:line="240" w:lineRule="auto"/>
      <w:ind w:left="340" w:hanging="340"/>
      <w:jc w:val="both"/>
    </w:pPr>
    <w:rPr>
      <w:rFonts w:ascii="Times New Roman" w:eastAsia="Times New Roman" w:hAnsi="Times New Roman" w:cs="Times New Roman"/>
      <w:sz w:val="24"/>
      <w:szCs w:val="20"/>
      <w:lang w:eastAsia="fr-FR"/>
    </w:rPr>
  </w:style>
  <w:style w:type="paragraph" w:customStyle="1" w:styleId="JuLista">
    <w:name w:val="Ju_List_a"/>
    <w:basedOn w:val="JuList"/>
    <w:rsid w:val="005A63B1"/>
    <w:pPr>
      <w:ind w:left="346" w:firstLine="0"/>
    </w:pPr>
  </w:style>
  <w:style w:type="paragraph" w:customStyle="1" w:styleId="JuListi">
    <w:name w:val="Ju_List_i"/>
    <w:basedOn w:val="JuLista"/>
    <w:rsid w:val="005A63B1"/>
    <w:pPr>
      <w:ind w:left="794"/>
    </w:pPr>
  </w:style>
  <w:style w:type="paragraph" w:customStyle="1" w:styleId="JuPara">
    <w:name w:val="Ju_Para"/>
    <w:aliases w:val="Left,First line:  0 cm,ECHR_Para"/>
    <w:basedOn w:val="Normalny"/>
    <w:link w:val="JuParaCar"/>
    <w:qFormat/>
    <w:rsid w:val="002E4990"/>
    <w:pPr>
      <w:suppressAutoHyphens/>
      <w:spacing w:after="0" w:line="240" w:lineRule="auto"/>
      <w:ind w:firstLine="284"/>
      <w:jc w:val="both"/>
    </w:pPr>
    <w:rPr>
      <w:rFonts w:ascii="Times New Roman" w:eastAsia="Times New Roman" w:hAnsi="Times New Roman" w:cs="Times New Roman"/>
      <w:sz w:val="24"/>
      <w:szCs w:val="20"/>
      <w:lang w:eastAsia="fr-FR"/>
    </w:rPr>
  </w:style>
  <w:style w:type="character" w:customStyle="1" w:styleId="JuParaCar">
    <w:name w:val="Ju_Para Car"/>
    <w:basedOn w:val="Domylnaczcionkaakapitu"/>
    <w:link w:val="JuPara"/>
    <w:rsid w:val="002E4990"/>
    <w:rPr>
      <w:rFonts w:ascii="Times New Roman" w:eastAsia="Times New Roman" w:hAnsi="Times New Roman" w:cs="Times New Roman"/>
      <w:sz w:val="24"/>
      <w:szCs w:val="20"/>
      <w:lang w:eastAsia="fr-FR"/>
    </w:rPr>
  </w:style>
  <w:style w:type="paragraph" w:styleId="Tekstprzypisukocowego">
    <w:name w:val="endnote text"/>
    <w:basedOn w:val="Normalny"/>
    <w:link w:val="TekstprzypisukocowegoZnak"/>
    <w:uiPriority w:val="99"/>
    <w:semiHidden/>
    <w:unhideWhenUsed/>
    <w:rsid w:val="001951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122"/>
    <w:rPr>
      <w:sz w:val="20"/>
      <w:szCs w:val="20"/>
    </w:rPr>
  </w:style>
  <w:style w:type="character" w:styleId="Odwoanieprzypisukocowego">
    <w:name w:val="endnote reference"/>
    <w:basedOn w:val="Domylnaczcionkaakapitu"/>
    <w:uiPriority w:val="99"/>
    <w:semiHidden/>
    <w:unhideWhenUsed/>
    <w:rsid w:val="00195122"/>
    <w:rPr>
      <w:vertAlign w:val="superscript"/>
    </w:rPr>
  </w:style>
  <w:style w:type="paragraph" w:styleId="Tekstdymka">
    <w:name w:val="Balloon Text"/>
    <w:basedOn w:val="Normalny"/>
    <w:link w:val="TekstdymkaZnak"/>
    <w:uiPriority w:val="99"/>
    <w:semiHidden/>
    <w:unhideWhenUsed/>
    <w:rsid w:val="00B90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961"/>
    <w:rPr>
      <w:rFonts w:ascii="Tahoma" w:hAnsi="Tahoma" w:cs="Tahoma"/>
      <w:sz w:val="16"/>
      <w:szCs w:val="16"/>
    </w:rPr>
  </w:style>
  <w:style w:type="character" w:customStyle="1" w:styleId="JuParaChar">
    <w:name w:val="Ju_Para Char"/>
    <w:locked/>
    <w:rsid w:val="008A7B8E"/>
    <w:rPr>
      <w:sz w:val="24"/>
      <w:szCs w:val="24"/>
      <w:lang w:val="en-GB" w:eastAsia="fr-FR"/>
    </w:rPr>
  </w:style>
  <w:style w:type="paragraph" w:styleId="Poprawka">
    <w:name w:val="Revision"/>
    <w:hidden/>
    <w:uiPriority w:val="99"/>
    <w:semiHidden/>
    <w:rsid w:val="008A7B8E"/>
    <w:pPr>
      <w:spacing w:after="0" w:line="240" w:lineRule="auto"/>
    </w:pPr>
  </w:style>
  <w:style w:type="paragraph" w:styleId="Akapitzlist">
    <w:name w:val="List Paragraph"/>
    <w:basedOn w:val="Normalny"/>
    <w:uiPriority w:val="34"/>
    <w:qFormat/>
    <w:rsid w:val="00307DC7"/>
    <w:pPr>
      <w:ind w:left="720"/>
      <w:contextualSpacing/>
    </w:pPr>
    <w:rPr>
      <w:lang w:val="pl-PL"/>
    </w:rPr>
  </w:style>
  <w:style w:type="character" w:customStyle="1" w:styleId="JuJudgesChar">
    <w:name w:val="Ju_Judges Char"/>
    <w:link w:val="ECHRDecisionBody"/>
    <w:uiPriority w:val="11"/>
    <w:locked/>
    <w:rsid w:val="00900877"/>
    <w:rPr>
      <w:rFonts w:ascii="Times New Roman" w:eastAsiaTheme="minorEastAsia" w:hAnsi="Times New Roman" w:cs="Times New Roman"/>
      <w:sz w:val="24"/>
      <w:lang w:val="en-US"/>
    </w:rPr>
  </w:style>
  <w:style w:type="paragraph" w:customStyle="1" w:styleId="ECHRDecisionBody">
    <w:name w:val="ECHR_Decision_Body"/>
    <w:aliases w:val="Ju_Judges"/>
    <w:basedOn w:val="Normalny"/>
    <w:link w:val="JuJudgesChar"/>
    <w:uiPriority w:val="11"/>
    <w:qFormat/>
    <w:rsid w:val="00900877"/>
    <w:pPr>
      <w:tabs>
        <w:tab w:val="left" w:pos="567"/>
        <w:tab w:val="left" w:pos="1134"/>
      </w:tabs>
      <w:spacing w:after="0" w:line="240" w:lineRule="auto"/>
    </w:pPr>
    <w:rPr>
      <w:rFonts w:ascii="Times New Roman" w:eastAsiaTheme="minorEastAsia" w:hAnsi="Times New Roman" w:cs="Times New Roman"/>
      <w:sz w:val="24"/>
      <w:lang w:val="en-US"/>
    </w:rPr>
  </w:style>
  <w:style w:type="character" w:styleId="UyteHipercze">
    <w:name w:val="FollowedHyperlink"/>
    <w:basedOn w:val="Domylnaczcionkaakapitu"/>
    <w:uiPriority w:val="99"/>
    <w:semiHidden/>
    <w:unhideWhenUsed/>
    <w:rsid w:val="0078425D"/>
    <w:rPr>
      <w:color w:val="800080" w:themeColor="followedHyperlink"/>
      <w:u w:val="single"/>
    </w:rPr>
  </w:style>
  <w:style w:type="paragraph" w:styleId="Nagwek">
    <w:name w:val="header"/>
    <w:basedOn w:val="Normalny"/>
    <w:link w:val="NagwekZnak"/>
    <w:uiPriority w:val="99"/>
    <w:unhideWhenUsed/>
    <w:rsid w:val="00134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73"/>
  </w:style>
  <w:style w:type="paragraph" w:styleId="Stopka">
    <w:name w:val="footer"/>
    <w:basedOn w:val="Normalny"/>
    <w:link w:val="StopkaZnak"/>
    <w:uiPriority w:val="99"/>
    <w:unhideWhenUsed/>
    <w:rsid w:val="00134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73"/>
  </w:style>
  <w:style w:type="character" w:styleId="Odwoaniedokomentarza">
    <w:name w:val="annotation reference"/>
    <w:basedOn w:val="Domylnaczcionkaakapitu"/>
    <w:uiPriority w:val="99"/>
    <w:semiHidden/>
    <w:unhideWhenUsed/>
    <w:rsid w:val="00D4640E"/>
    <w:rPr>
      <w:sz w:val="16"/>
      <w:szCs w:val="16"/>
    </w:rPr>
  </w:style>
  <w:style w:type="paragraph" w:styleId="Tekstkomentarza">
    <w:name w:val="annotation text"/>
    <w:basedOn w:val="Normalny"/>
    <w:link w:val="TekstkomentarzaZnak"/>
    <w:uiPriority w:val="99"/>
    <w:semiHidden/>
    <w:unhideWhenUsed/>
    <w:rsid w:val="00D46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40E"/>
    <w:rPr>
      <w:sz w:val="20"/>
      <w:szCs w:val="20"/>
    </w:rPr>
  </w:style>
  <w:style w:type="paragraph" w:styleId="Tematkomentarza">
    <w:name w:val="annotation subject"/>
    <w:basedOn w:val="Tekstkomentarza"/>
    <w:next w:val="Tekstkomentarza"/>
    <w:link w:val="TematkomentarzaZnak"/>
    <w:uiPriority w:val="99"/>
    <w:semiHidden/>
    <w:unhideWhenUsed/>
    <w:rsid w:val="00D4640E"/>
    <w:rPr>
      <w:b/>
      <w:bCs/>
    </w:rPr>
  </w:style>
  <w:style w:type="character" w:customStyle="1" w:styleId="TematkomentarzaZnak">
    <w:name w:val="Temat komentarza Znak"/>
    <w:basedOn w:val="TekstkomentarzaZnak"/>
    <w:link w:val="Tematkomentarza"/>
    <w:uiPriority w:val="99"/>
    <w:semiHidden/>
    <w:rsid w:val="00D4640E"/>
    <w:rPr>
      <w:b/>
      <w:bCs/>
      <w:sz w:val="20"/>
      <w:szCs w:val="20"/>
    </w:rPr>
  </w:style>
  <w:style w:type="paragraph" w:styleId="Tekstpodstawowy3">
    <w:name w:val="Body Text 3"/>
    <w:basedOn w:val="Normalny"/>
    <w:link w:val="Tekstpodstawowy3Znak"/>
    <w:rsid w:val="00C820A8"/>
    <w:pPr>
      <w:spacing w:after="0" w:line="240" w:lineRule="auto"/>
      <w:jc w:val="both"/>
    </w:pPr>
    <w:rPr>
      <w:rFonts w:ascii="Times New Roman" w:eastAsia="Times New Roman" w:hAnsi="Times New Roman" w:cs="Times New Roman"/>
      <w:b/>
      <w:sz w:val="24"/>
      <w:szCs w:val="20"/>
      <w:lang w:val="en-US" w:eastAsia="zh-CN"/>
    </w:rPr>
  </w:style>
  <w:style w:type="character" w:customStyle="1" w:styleId="Tekstpodstawowy3Znak">
    <w:name w:val="Tekst podstawowy 3 Znak"/>
    <w:basedOn w:val="Domylnaczcionkaakapitu"/>
    <w:link w:val="Tekstpodstawowy3"/>
    <w:rsid w:val="00C820A8"/>
    <w:rPr>
      <w:rFonts w:ascii="Times New Roman" w:eastAsia="Times New Roman" w:hAnsi="Times New Roman" w:cs="Times New Roman"/>
      <w:b/>
      <w:sz w:val="24"/>
      <w:szCs w:val="20"/>
      <w:lang w:val="en-US" w:eastAsia="zh-CN"/>
    </w:rPr>
  </w:style>
  <w:style w:type="paragraph" w:customStyle="1" w:styleId="s52b9fb1c">
    <w:name w:val="s52b9fb1c"/>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6b621b36">
    <w:name w:val="s6b621b36"/>
    <w:basedOn w:val="Domylnaczcionkaakapitu"/>
    <w:rsid w:val="00A83072"/>
  </w:style>
  <w:style w:type="paragraph" w:customStyle="1" w:styleId="s6c21291f">
    <w:name w:val="s6c21291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21d618bf">
    <w:name w:val="s21d618b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177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15"/>
    <w:rPr>
      <w:sz w:val="20"/>
      <w:szCs w:val="20"/>
    </w:rPr>
  </w:style>
  <w:style w:type="character" w:styleId="Odwoanieprzypisudolnego">
    <w:name w:val="footnote reference"/>
    <w:basedOn w:val="Domylnaczcionkaakapitu"/>
    <w:uiPriority w:val="99"/>
    <w:semiHidden/>
    <w:unhideWhenUsed/>
    <w:rsid w:val="00177D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dfc50a6a">
    <w:name w:val="sdfc50a6a"/>
    <w:basedOn w:val="Domylnaczcionkaakapitu"/>
    <w:rsid w:val="00A0767F"/>
  </w:style>
  <w:style w:type="character" w:styleId="Hipercze">
    <w:name w:val="Hyperlink"/>
    <w:basedOn w:val="Domylnaczcionkaakapitu"/>
    <w:uiPriority w:val="99"/>
    <w:unhideWhenUsed/>
    <w:rsid w:val="00F271D5"/>
    <w:rPr>
      <w:color w:val="0000FF" w:themeColor="hyperlink"/>
      <w:u w:val="single"/>
    </w:rPr>
  </w:style>
  <w:style w:type="character" w:customStyle="1" w:styleId="sb8d990e2">
    <w:name w:val="sb8d990e2"/>
    <w:basedOn w:val="Domylnaczcionkaakapitu"/>
    <w:rsid w:val="00F271D5"/>
  </w:style>
  <w:style w:type="paragraph" w:customStyle="1" w:styleId="JuParaLast">
    <w:name w:val="Ju_Para_Last"/>
    <w:basedOn w:val="Normalny"/>
    <w:next w:val="Normalny"/>
    <w:rsid w:val="0000012A"/>
    <w:pPr>
      <w:suppressAutoHyphens/>
      <w:spacing w:before="240" w:after="0" w:line="240" w:lineRule="auto"/>
      <w:ind w:firstLine="284"/>
      <w:jc w:val="both"/>
    </w:pPr>
    <w:rPr>
      <w:rFonts w:ascii="Times New Roman" w:eastAsia="Times New Roman" w:hAnsi="Times New Roman" w:cs="Times New Roman"/>
      <w:sz w:val="24"/>
      <w:szCs w:val="20"/>
      <w:lang w:eastAsia="fr-FR"/>
    </w:rPr>
  </w:style>
  <w:style w:type="paragraph" w:customStyle="1" w:styleId="JuList">
    <w:name w:val="Ju_List"/>
    <w:basedOn w:val="Normalny"/>
    <w:rsid w:val="005A63B1"/>
    <w:pPr>
      <w:suppressAutoHyphens/>
      <w:spacing w:after="0" w:line="240" w:lineRule="auto"/>
      <w:ind w:left="340" w:hanging="340"/>
      <w:jc w:val="both"/>
    </w:pPr>
    <w:rPr>
      <w:rFonts w:ascii="Times New Roman" w:eastAsia="Times New Roman" w:hAnsi="Times New Roman" w:cs="Times New Roman"/>
      <w:sz w:val="24"/>
      <w:szCs w:val="20"/>
      <w:lang w:eastAsia="fr-FR"/>
    </w:rPr>
  </w:style>
  <w:style w:type="paragraph" w:customStyle="1" w:styleId="JuLista">
    <w:name w:val="Ju_List_a"/>
    <w:basedOn w:val="JuList"/>
    <w:rsid w:val="005A63B1"/>
    <w:pPr>
      <w:ind w:left="346" w:firstLine="0"/>
    </w:pPr>
  </w:style>
  <w:style w:type="paragraph" w:customStyle="1" w:styleId="JuListi">
    <w:name w:val="Ju_List_i"/>
    <w:basedOn w:val="JuLista"/>
    <w:rsid w:val="005A63B1"/>
    <w:pPr>
      <w:ind w:left="794"/>
    </w:pPr>
  </w:style>
  <w:style w:type="paragraph" w:customStyle="1" w:styleId="JuPara">
    <w:name w:val="Ju_Para"/>
    <w:aliases w:val="Left,First line:  0 cm,ECHR_Para"/>
    <w:basedOn w:val="Normalny"/>
    <w:link w:val="JuParaCar"/>
    <w:qFormat/>
    <w:rsid w:val="002E4990"/>
    <w:pPr>
      <w:suppressAutoHyphens/>
      <w:spacing w:after="0" w:line="240" w:lineRule="auto"/>
      <w:ind w:firstLine="284"/>
      <w:jc w:val="both"/>
    </w:pPr>
    <w:rPr>
      <w:rFonts w:ascii="Times New Roman" w:eastAsia="Times New Roman" w:hAnsi="Times New Roman" w:cs="Times New Roman"/>
      <w:sz w:val="24"/>
      <w:szCs w:val="20"/>
      <w:lang w:eastAsia="fr-FR"/>
    </w:rPr>
  </w:style>
  <w:style w:type="character" w:customStyle="1" w:styleId="JuParaCar">
    <w:name w:val="Ju_Para Car"/>
    <w:basedOn w:val="Domylnaczcionkaakapitu"/>
    <w:link w:val="JuPara"/>
    <w:rsid w:val="002E4990"/>
    <w:rPr>
      <w:rFonts w:ascii="Times New Roman" w:eastAsia="Times New Roman" w:hAnsi="Times New Roman" w:cs="Times New Roman"/>
      <w:sz w:val="24"/>
      <w:szCs w:val="20"/>
      <w:lang w:eastAsia="fr-FR"/>
    </w:rPr>
  </w:style>
  <w:style w:type="paragraph" w:styleId="Tekstprzypisukocowego">
    <w:name w:val="endnote text"/>
    <w:basedOn w:val="Normalny"/>
    <w:link w:val="TekstprzypisukocowegoZnak"/>
    <w:uiPriority w:val="99"/>
    <w:semiHidden/>
    <w:unhideWhenUsed/>
    <w:rsid w:val="001951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122"/>
    <w:rPr>
      <w:sz w:val="20"/>
      <w:szCs w:val="20"/>
    </w:rPr>
  </w:style>
  <w:style w:type="character" w:styleId="Odwoanieprzypisukocowego">
    <w:name w:val="endnote reference"/>
    <w:basedOn w:val="Domylnaczcionkaakapitu"/>
    <w:uiPriority w:val="99"/>
    <w:semiHidden/>
    <w:unhideWhenUsed/>
    <w:rsid w:val="00195122"/>
    <w:rPr>
      <w:vertAlign w:val="superscript"/>
    </w:rPr>
  </w:style>
  <w:style w:type="paragraph" w:styleId="Tekstdymka">
    <w:name w:val="Balloon Text"/>
    <w:basedOn w:val="Normalny"/>
    <w:link w:val="TekstdymkaZnak"/>
    <w:uiPriority w:val="99"/>
    <w:semiHidden/>
    <w:unhideWhenUsed/>
    <w:rsid w:val="00B909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961"/>
    <w:rPr>
      <w:rFonts w:ascii="Tahoma" w:hAnsi="Tahoma" w:cs="Tahoma"/>
      <w:sz w:val="16"/>
      <w:szCs w:val="16"/>
    </w:rPr>
  </w:style>
  <w:style w:type="character" w:customStyle="1" w:styleId="JuParaChar">
    <w:name w:val="Ju_Para Char"/>
    <w:locked/>
    <w:rsid w:val="008A7B8E"/>
    <w:rPr>
      <w:sz w:val="24"/>
      <w:szCs w:val="24"/>
      <w:lang w:val="en-GB" w:eastAsia="fr-FR"/>
    </w:rPr>
  </w:style>
  <w:style w:type="paragraph" w:styleId="Poprawka">
    <w:name w:val="Revision"/>
    <w:hidden/>
    <w:uiPriority w:val="99"/>
    <w:semiHidden/>
    <w:rsid w:val="008A7B8E"/>
    <w:pPr>
      <w:spacing w:after="0" w:line="240" w:lineRule="auto"/>
    </w:pPr>
  </w:style>
  <w:style w:type="paragraph" w:styleId="Akapitzlist">
    <w:name w:val="List Paragraph"/>
    <w:basedOn w:val="Normalny"/>
    <w:uiPriority w:val="34"/>
    <w:qFormat/>
    <w:rsid w:val="00307DC7"/>
    <w:pPr>
      <w:ind w:left="720"/>
      <w:contextualSpacing/>
    </w:pPr>
    <w:rPr>
      <w:lang w:val="pl-PL"/>
    </w:rPr>
  </w:style>
  <w:style w:type="character" w:customStyle="1" w:styleId="JuJudgesChar">
    <w:name w:val="Ju_Judges Char"/>
    <w:link w:val="ECHRDecisionBody"/>
    <w:uiPriority w:val="11"/>
    <w:locked/>
    <w:rsid w:val="00900877"/>
    <w:rPr>
      <w:rFonts w:ascii="Times New Roman" w:eastAsiaTheme="minorEastAsia" w:hAnsi="Times New Roman" w:cs="Times New Roman"/>
      <w:sz w:val="24"/>
      <w:lang w:val="en-US"/>
    </w:rPr>
  </w:style>
  <w:style w:type="paragraph" w:customStyle="1" w:styleId="ECHRDecisionBody">
    <w:name w:val="ECHR_Decision_Body"/>
    <w:aliases w:val="Ju_Judges"/>
    <w:basedOn w:val="Normalny"/>
    <w:link w:val="JuJudgesChar"/>
    <w:uiPriority w:val="11"/>
    <w:qFormat/>
    <w:rsid w:val="00900877"/>
    <w:pPr>
      <w:tabs>
        <w:tab w:val="left" w:pos="567"/>
        <w:tab w:val="left" w:pos="1134"/>
      </w:tabs>
      <w:spacing w:after="0" w:line="240" w:lineRule="auto"/>
    </w:pPr>
    <w:rPr>
      <w:rFonts w:ascii="Times New Roman" w:eastAsiaTheme="minorEastAsia" w:hAnsi="Times New Roman" w:cs="Times New Roman"/>
      <w:sz w:val="24"/>
      <w:lang w:val="en-US"/>
    </w:rPr>
  </w:style>
  <w:style w:type="character" w:styleId="UyteHipercze">
    <w:name w:val="FollowedHyperlink"/>
    <w:basedOn w:val="Domylnaczcionkaakapitu"/>
    <w:uiPriority w:val="99"/>
    <w:semiHidden/>
    <w:unhideWhenUsed/>
    <w:rsid w:val="0078425D"/>
    <w:rPr>
      <w:color w:val="800080" w:themeColor="followedHyperlink"/>
      <w:u w:val="single"/>
    </w:rPr>
  </w:style>
  <w:style w:type="paragraph" w:styleId="Nagwek">
    <w:name w:val="header"/>
    <w:basedOn w:val="Normalny"/>
    <w:link w:val="NagwekZnak"/>
    <w:uiPriority w:val="99"/>
    <w:unhideWhenUsed/>
    <w:rsid w:val="00134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73"/>
  </w:style>
  <w:style w:type="paragraph" w:styleId="Stopka">
    <w:name w:val="footer"/>
    <w:basedOn w:val="Normalny"/>
    <w:link w:val="StopkaZnak"/>
    <w:uiPriority w:val="99"/>
    <w:unhideWhenUsed/>
    <w:rsid w:val="00134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73"/>
  </w:style>
  <w:style w:type="character" w:styleId="Odwoaniedokomentarza">
    <w:name w:val="annotation reference"/>
    <w:basedOn w:val="Domylnaczcionkaakapitu"/>
    <w:uiPriority w:val="99"/>
    <w:semiHidden/>
    <w:unhideWhenUsed/>
    <w:rsid w:val="00D4640E"/>
    <w:rPr>
      <w:sz w:val="16"/>
      <w:szCs w:val="16"/>
    </w:rPr>
  </w:style>
  <w:style w:type="paragraph" w:styleId="Tekstkomentarza">
    <w:name w:val="annotation text"/>
    <w:basedOn w:val="Normalny"/>
    <w:link w:val="TekstkomentarzaZnak"/>
    <w:uiPriority w:val="99"/>
    <w:semiHidden/>
    <w:unhideWhenUsed/>
    <w:rsid w:val="00D46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40E"/>
    <w:rPr>
      <w:sz w:val="20"/>
      <w:szCs w:val="20"/>
    </w:rPr>
  </w:style>
  <w:style w:type="paragraph" w:styleId="Tematkomentarza">
    <w:name w:val="annotation subject"/>
    <w:basedOn w:val="Tekstkomentarza"/>
    <w:next w:val="Tekstkomentarza"/>
    <w:link w:val="TematkomentarzaZnak"/>
    <w:uiPriority w:val="99"/>
    <w:semiHidden/>
    <w:unhideWhenUsed/>
    <w:rsid w:val="00D4640E"/>
    <w:rPr>
      <w:b/>
      <w:bCs/>
    </w:rPr>
  </w:style>
  <w:style w:type="character" w:customStyle="1" w:styleId="TematkomentarzaZnak">
    <w:name w:val="Temat komentarza Znak"/>
    <w:basedOn w:val="TekstkomentarzaZnak"/>
    <w:link w:val="Tematkomentarza"/>
    <w:uiPriority w:val="99"/>
    <w:semiHidden/>
    <w:rsid w:val="00D4640E"/>
    <w:rPr>
      <w:b/>
      <w:bCs/>
      <w:sz w:val="20"/>
      <w:szCs w:val="20"/>
    </w:rPr>
  </w:style>
  <w:style w:type="paragraph" w:styleId="Tekstpodstawowy3">
    <w:name w:val="Body Text 3"/>
    <w:basedOn w:val="Normalny"/>
    <w:link w:val="Tekstpodstawowy3Znak"/>
    <w:rsid w:val="00C820A8"/>
    <w:pPr>
      <w:spacing w:after="0" w:line="240" w:lineRule="auto"/>
      <w:jc w:val="both"/>
    </w:pPr>
    <w:rPr>
      <w:rFonts w:ascii="Times New Roman" w:eastAsia="Times New Roman" w:hAnsi="Times New Roman" w:cs="Times New Roman"/>
      <w:b/>
      <w:sz w:val="24"/>
      <w:szCs w:val="20"/>
      <w:lang w:val="en-US" w:eastAsia="zh-CN"/>
    </w:rPr>
  </w:style>
  <w:style w:type="character" w:customStyle="1" w:styleId="Tekstpodstawowy3Znak">
    <w:name w:val="Tekst podstawowy 3 Znak"/>
    <w:basedOn w:val="Domylnaczcionkaakapitu"/>
    <w:link w:val="Tekstpodstawowy3"/>
    <w:rsid w:val="00C820A8"/>
    <w:rPr>
      <w:rFonts w:ascii="Times New Roman" w:eastAsia="Times New Roman" w:hAnsi="Times New Roman" w:cs="Times New Roman"/>
      <w:b/>
      <w:sz w:val="24"/>
      <w:szCs w:val="20"/>
      <w:lang w:val="en-US" w:eastAsia="zh-CN"/>
    </w:rPr>
  </w:style>
  <w:style w:type="paragraph" w:customStyle="1" w:styleId="s52b9fb1c">
    <w:name w:val="s52b9fb1c"/>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6b621b36">
    <w:name w:val="s6b621b36"/>
    <w:basedOn w:val="Domylnaczcionkaakapitu"/>
    <w:rsid w:val="00A83072"/>
  </w:style>
  <w:style w:type="paragraph" w:customStyle="1" w:styleId="s6c21291f">
    <w:name w:val="s6c21291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21d618bf">
    <w:name w:val="s21d618bf"/>
    <w:basedOn w:val="Normalny"/>
    <w:rsid w:val="00A830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177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15"/>
    <w:rPr>
      <w:sz w:val="20"/>
      <w:szCs w:val="20"/>
    </w:rPr>
  </w:style>
  <w:style w:type="character" w:styleId="Odwoanieprzypisudolnego">
    <w:name w:val="footnote reference"/>
    <w:basedOn w:val="Domylnaczcionkaakapitu"/>
    <w:uiPriority w:val="99"/>
    <w:semiHidden/>
    <w:unhideWhenUsed/>
    <w:rsid w:val="00177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636">
      <w:bodyDiv w:val="1"/>
      <w:marLeft w:val="0"/>
      <w:marRight w:val="0"/>
      <w:marTop w:val="0"/>
      <w:marBottom w:val="0"/>
      <w:divBdr>
        <w:top w:val="none" w:sz="0" w:space="0" w:color="auto"/>
        <w:left w:val="none" w:sz="0" w:space="0" w:color="auto"/>
        <w:bottom w:val="none" w:sz="0" w:space="0" w:color="auto"/>
        <w:right w:val="none" w:sz="0" w:space="0" w:color="auto"/>
      </w:divBdr>
    </w:div>
    <w:div w:id="346909671">
      <w:bodyDiv w:val="1"/>
      <w:marLeft w:val="0"/>
      <w:marRight w:val="0"/>
      <w:marTop w:val="0"/>
      <w:marBottom w:val="0"/>
      <w:divBdr>
        <w:top w:val="none" w:sz="0" w:space="0" w:color="auto"/>
        <w:left w:val="none" w:sz="0" w:space="0" w:color="auto"/>
        <w:bottom w:val="none" w:sz="0" w:space="0" w:color="auto"/>
        <w:right w:val="none" w:sz="0" w:space="0" w:color="auto"/>
      </w:divBdr>
    </w:div>
    <w:div w:id="709766107">
      <w:bodyDiv w:val="1"/>
      <w:marLeft w:val="0"/>
      <w:marRight w:val="0"/>
      <w:marTop w:val="0"/>
      <w:marBottom w:val="0"/>
      <w:divBdr>
        <w:top w:val="none" w:sz="0" w:space="0" w:color="auto"/>
        <w:left w:val="none" w:sz="0" w:space="0" w:color="auto"/>
        <w:bottom w:val="none" w:sz="0" w:space="0" w:color="auto"/>
        <w:right w:val="none" w:sz="0" w:space="0" w:color="auto"/>
      </w:divBdr>
    </w:div>
    <w:div w:id="1231774188">
      <w:bodyDiv w:val="1"/>
      <w:marLeft w:val="0"/>
      <w:marRight w:val="0"/>
      <w:marTop w:val="0"/>
      <w:marBottom w:val="0"/>
      <w:divBdr>
        <w:top w:val="none" w:sz="0" w:space="0" w:color="auto"/>
        <w:left w:val="none" w:sz="0" w:space="0" w:color="auto"/>
        <w:bottom w:val="none" w:sz="0" w:space="0" w:color="auto"/>
        <w:right w:val="none" w:sz="0" w:space="0" w:color="auto"/>
      </w:divBdr>
      <w:divsChild>
        <w:div w:id="1245530633">
          <w:marLeft w:val="0"/>
          <w:marRight w:val="0"/>
          <w:marTop w:val="0"/>
          <w:marBottom w:val="0"/>
          <w:divBdr>
            <w:top w:val="none" w:sz="0" w:space="0" w:color="auto"/>
            <w:left w:val="none" w:sz="0" w:space="0" w:color="auto"/>
            <w:bottom w:val="none" w:sz="0" w:space="0" w:color="auto"/>
            <w:right w:val="none" w:sz="0" w:space="0" w:color="auto"/>
          </w:divBdr>
          <w:divsChild>
            <w:div w:id="1392967932">
              <w:marLeft w:val="0"/>
              <w:marRight w:val="0"/>
              <w:marTop w:val="0"/>
              <w:marBottom w:val="0"/>
              <w:divBdr>
                <w:top w:val="none" w:sz="0" w:space="0" w:color="auto"/>
                <w:left w:val="none" w:sz="0" w:space="0" w:color="auto"/>
                <w:bottom w:val="none" w:sz="0" w:space="0" w:color="auto"/>
                <w:right w:val="none" w:sz="0" w:space="0" w:color="auto"/>
              </w:divBdr>
              <w:divsChild>
                <w:div w:id="1263756934">
                  <w:marLeft w:val="0"/>
                  <w:marRight w:val="0"/>
                  <w:marTop w:val="0"/>
                  <w:marBottom w:val="0"/>
                  <w:divBdr>
                    <w:top w:val="none" w:sz="0" w:space="0" w:color="auto"/>
                    <w:left w:val="none" w:sz="0" w:space="0" w:color="auto"/>
                    <w:bottom w:val="none" w:sz="0" w:space="0" w:color="auto"/>
                    <w:right w:val="none" w:sz="0" w:space="0" w:color="auto"/>
                  </w:divBdr>
                  <w:divsChild>
                    <w:div w:id="1835339412">
                      <w:marLeft w:val="0"/>
                      <w:marRight w:val="0"/>
                      <w:marTop w:val="0"/>
                      <w:marBottom w:val="0"/>
                      <w:divBdr>
                        <w:top w:val="none" w:sz="0" w:space="0" w:color="auto"/>
                        <w:left w:val="none" w:sz="0" w:space="0" w:color="auto"/>
                        <w:bottom w:val="none" w:sz="0" w:space="0" w:color="auto"/>
                        <w:right w:val="none" w:sz="0" w:space="0" w:color="auto"/>
                      </w:divBdr>
                      <w:divsChild>
                        <w:div w:id="1851023196">
                          <w:marLeft w:val="0"/>
                          <w:marRight w:val="0"/>
                          <w:marTop w:val="0"/>
                          <w:marBottom w:val="0"/>
                          <w:divBdr>
                            <w:top w:val="none" w:sz="0" w:space="0" w:color="auto"/>
                            <w:left w:val="none" w:sz="0" w:space="0" w:color="auto"/>
                            <w:bottom w:val="none" w:sz="0" w:space="0" w:color="auto"/>
                            <w:right w:val="none" w:sz="0" w:space="0" w:color="auto"/>
                          </w:divBdr>
                          <w:divsChild>
                            <w:div w:id="129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421">
      <w:bodyDiv w:val="1"/>
      <w:marLeft w:val="0"/>
      <w:marRight w:val="0"/>
      <w:marTop w:val="0"/>
      <w:marBottom w:val="0"/>
      <w:divBdr>
        <w:top w:val="none" w:sz="0" w:space="0" w:color="auto"/>
        <w:left w:val="none" w:sz="0" w:space="0" w:color="auto"/>
        <w:bottom w:val="none" w:sz="0" w:space="0" w:color="auto"/>
        <w:right w:val="none" w:sz="0" w:space="0" w:color="auto"/>
      </w:divBdr>
    </w:div>
    <w:div w:id="1735200996">
      <w:bodyDiv w:val="1"/>
      <w:marLeft w:val="0"/>
      <w:marRight w:val="0"/>
      <w:marTop w:val="0"/>
      <w:marBottom w:val="0"/>
      <w:divBdr>
        <w:top w:val="none" w:sz="0" w:space="0" w:color="auto"/>
        <w:left w:val="none" w:sz="0" w:space="0" w:color="auto"/>
        <w:bottom w:val="none" w:sz="0" w:space="0" w:color="auto"/>
        <w:right w:val="none" w:sz="0" w:space="0" w:color="auto"/>
      </w:divBdr>
      <w:divsChild>
        <w:div w:id="691958918">
          <w:marLeft w:val="0"/>
          <w:marRight w:val="0"/>
          <w:marTop w:val="0"/>
          <w:marBottom w:val="0"/>
          <w:divBdr>
            <w:top w:val="none" w:sz="0" w:space="0" w:color="auto"/>
            <w:left w:val="none" w:sz="0" w:space="0" w:color="auto"/>
            <w:bottom w:val="none" w:sz="0" w:space="0" w:color="auto"/>
            <w:right w:val="none" w:sz="0" w:space="0" w:color="auto"/>
          </w:divBdr>
          <w:divsChild>
            <w:div w:id="658926007">
              <w:marLeft w:val="0"/>
              <w:marRight w:val="0"/>
              <w:marTop w:val="0"/>
              <w:marBottom w:val="0"/>
              <w:divBdr>
                <w:top w:val="none" w:sz="0" w:space="0" w:color="auto"/>
                <w:left w:val="none" w:sz="0" w:space="0" w:color="auto"/>
                <w:bottom w:val="none" w:sz="0" w:space="0" w:color="auto"/>
                <w:right w:val="none" w:sz="0" w:space="0" w:color="auto"/>
              </w:divBdr>
              <w:divsChild>
                <w:div w:id="2060785470">
                  <w:marLeft w:val="0"/>
                  <w:marRight w:val="0"/>
                  <w:marTop w:val="0"/>
                  <w:marBottom w:val="0"/>
                  <w:divBdr>
                    <w:top w:val="none" w:sz="0" w:space="0" w:color="auto"/>
                    <w:left w:val="none" w:sz="0" w:space="0" w:color="auto"/>
                    <w:bottom w:val="none" w:sz="0" w:space="0" w:color="auto"/>
                    <w:right w:val="none" w:sz="0" w:space="0" w:color="auto"/>
                  </w:divBdr>
                  <w:divsChild>
                    <w:div w:id="1044408898">
                      <w:marLeft w:val="0"/>
                      <w:marRight w:val="0"/>
                      <w:marTop w:val="0"/>
                      <w:marBottom w:val="0"/>
                      <w:divBdr>
                        <w:top w:val="none" w:sz="0" w:space="0" w:color="auto"/>
                        <w:left w:val="none" w:sz="0" w:space="0" w:color="auto"/>
                        <w:bottom w:val="none" w:sz="0" w:space="0" w:color="auto"/>
                        <w:right w:val="none" w:sz="0" w:space="0" w:color="auto"/>
                      </w:divBdr>
                      <w:divsChild>
                        <w:div w:id="554318967">
                          <w:marLeft w:val="0"/>
                          <w:marRight w:val="0"/>
                          <w:marTop w:val="0"/>
                          <w:marBottom w:val="0"/>
                          <w:divBdr>
                            <w:top w:val="none" w:sz="0" w:space="0" w:color="auto"/>
                            <w:left w:val="none" w:sz="0" w:space="0" w:color="auto"/>
                            <w:bottom w:val="none" w:sz="0" w:space="0" w:color="auto"/>
                            <w:right w:val="none" w:sz="0" w:space="0" w:color="auto"/>
                          </w:divBdr>
                          <w:divsChild>
                            <w:div w:id="1139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15122">
      <w:bodyDiv w:val="1"/>
      <w:marLeft w:val="0"/>
      <w:marRight w:val="0"/>
      <w:marTop w:val="0"/>
      <w:marBottom w:val="0"/>
      <w:divBdr>
        <w:top w:val="none" w:sz="0" w:space="0" w:color="auto"/>
        <w:left w:val="none" w:sz="0" w:space="0" w:color="auto"/>
        <w:bottom w:val="none" w:sz="0" w:space="0" w:color="auto"/>
        <w:right w:val="none" w:sz="0" w:space="0" w:color="auto"/>
      </w:divBdr>
    </w:div>
    <w:div w:id="17770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ECE2-A71F-4B43-9EA5-5D40D79B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Suchożebrska Eliza</dc:creator>
  <cp:lastModifiedBy>Suchożebrska Eliza</cp:lastModifiedBy>
  <cp:revision>4</cp:revision>
  <dcterms:created xsi:type="dcterms:W3CDTF">2018-04-17T12:16:00Z</dcterms:created>
  <dcterms:modified xsi:type="dcterms:W3CDTF">2018-04-17T12:17:00Z</dcterms:modified>
</cp:coreProperties>
</file>