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3" w:rsidRDefault="00CC4FB3" w:rsidP="00A568A0">
      <w:pPr>
        <w:tabs>
          <w:tab w:val="left" w:pos="12900"/>
          <w:tab w:val="left" w:pos="13750"/>
        </w:tabs>
        <w:ind w:hanging="567"/>
      </w:pPr>
      <w:r w:rsidRPr="00CC4FB3">
        <w:rPr>
          <w:noProof/>
          <w:lang w:eastAsia="pl-PL"/>
        </w:rPr>
        <w:drawing>
          <wp:inline distT="0" distB="0" distL="0" distR="0" wp14:anchorId="518B5E25" wp14:editId="6AA79911">
            <wp:extent cx="2693670" cy="388620"/>
            <wp:effectExtent l="19050" t="0" r="0" b="0"/>
            <wp:docPr id="1" name="Obraz 1" descr="logo_doskonalenie_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logo_doskonalenie_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86" cy="3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A" w:rsidRPr="00A568A0" w:rsidRDefault="006553FA" w:rsidP="00A568A0">
      <w:pPr>
        <w:tabs>
          <w:tab w:val="left" w:pos="12900"/>
          <w:tab w:val="left" w:pos="13750"/>
        </w:tabs>
        <w:ind w:hanging="567"/>
      </w:pPr>
    </w:p>
    <w:p w:rsidR="00CC4FB3" w:rsidRPr="00CC4FB3" w:rsidRDefault="00CC4FB3" w:rsidP="00CC4FB3">
      <w:pPr>
        <w:tabs>
          <w:tab w:val="left" w:pos="12900"/>
          <w:tab w:val="left" w:pos="13750"/>
        </w:tabs>
        <w:ind w:hanging="567"/>
        <w:jc w:val="center"/>
        <w:rPr>
          <w:b/>
          <w:sz w:val="28"/>
        </w:rPr>
      </w:pPr>
      <w:r w:rsidRPr="00CC4FB3">
        <w:rPr>
          <w:b/>
          <w:sz w:val="28"/>
        </w:rPr>
        <w:t>WYKŁADY INTERNETOWE</w:t>
      </w:r>
    </w:p>
    <w:tbl>
      <w:tblPr>
        <w:tblW w:w="108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162"/>
        <w:gridCol w:w="3270"/>
        <w:gridCol w:w="1635"/>
        <w:gridCol w:w="1189"/>
      </w:tblGrid>
      <w:tr w:rsidR="00CC4FB3" w:rsidRPr="00405C35" w:rsidTr="00A568A0">
        <w:trPr>
          <w:trHeight w:val="373"/>
        </w:trPr>
        <w:tc>
          <w:tcPr>
            <w:tcW w:w="596" w:type="dxa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CE6F1"/>
            <w:noWrap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 w:rsidR="005942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7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Wykładowca</w:t>
            </w:r>
          </w:p>
        </w:tc>
        <w:tc>
          <w:tcPr>
            <w:tcW w:w="163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ługość trwania wykładu</w:t>
            </w:r>
          </w:p>
        </w:tc>
        <w:tc>
          <w:tcPr>
            <w:tcW w:w="1189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:rsidR="00CC4FB3" w:rsidRPr="00405C35" w:rsidRDefault="00CC4FB3" w:rsidP="0064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405C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punktów</w:t>
            </w:r>
          </w:p>
        </w:tc>
      </w:tr>
      <w:tr w:rsidR="00A568A0" w:rsidRPr="00405C35" w:rsidTr="006553FA">
        <w:trPr>
          <w:trHeight w:val="75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5B3E66" w:rsidRPr="00405C35" w:rsidRDefault="00325E2C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Skarga Konstytucyjna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5B3E66" w:rsidRPr="00405C35" w:rsidRDefault="00325E2C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Marcin Wiącek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01:27:28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69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325E2C" w:rsidP="00A5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Zasady i tryb doręczeń przesyłek</w:t>
            </w:r>
            <w:r w:rsidR="00A568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nadawanych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</w:t>
            </w:r>
            <w:r w:rsidR="00A568A0">
              <w:rPr>
                <w:rFonts w:ascii="Calibri" w:eastAsia="Times New Roman" w:hAnsi="Calibri" w:cs="Calibri"/>
                <w:color w:val="000000"/>
                <w:lang w:eastAsia="pl-PL"/>
              </w:rPr>
              <w:t>warunkach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specjalnych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Rafał Zgorzelski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01:27:40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70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Elastyczny czas pracy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Łukasz Pisarczyk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01:31:52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689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Umowy wdrożeniowe i serwisowe – typowe i kontrowersyjne klauzule umowne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A568A0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r.pr. Marcin Maruta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01:02:01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568A0" w:rsidRPr="00405C35" w:rsidTr="006553FA">
        <w:trPr>
          <w:trHeight w:val="713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Sposoby wykorzystania Konstytucji  w procesie sądowym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Marcin Wiącek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01:39:05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83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Zasady odpowiedzialności karnej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01:30:55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976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Umowy o zakazie konkurencji i odpowiedzialność materialna pracowników w prawie pracy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Zbigniew Szczuka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01:50:01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568A0" w:rsidRPr="00405C35" w:rsidTr="006553FA">
        <w:trPr>
          <w:trHeight w:val="693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Kary oraz zasady ich wymierzania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01:24:29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717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karne i zasady ich wymierzania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Sławomir Żółtek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01:25</w:t>
            </w:r>
            <w:r w:rsidR="00225892">
              <w:rPr>
                <w:rFonts w:ascii="Calibri" w:eastAsia="Times New Roman" w:hAnsi="Calibri" w:cs="Calibri"/>
                <w:color w:val="000000"/>
                <w:lang w:eastAsia="pl-PL"/>
              </w:rPr>
              <w:t>:04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568A0" w:rsidRPr="00405C35" w:rsidTr="006553FA">
        <w:trPr>
          <w:trHeight w:val="6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5B3E66" w:rsidRPr="00405C35" w:rsidRDefault="0094066B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0477B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Zarzut </w:t>
            </w:r>
            <w:r w:rsidR="00820CDF">
              <w:rPr>
                <w:rFonts w:ascii="Calibri" w:eastAsia="Times New Roman" w:hAnsi="Calibri" w:cs="Calibri"/>
                <w:color w:val="000000"/>
                <w:lang w:eastAsia="pl-PL"/>
              </w:rPr>
              <w:t>przedawnienia w procesie cywilnym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6553FA" w:rsidP="00CA5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sSN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st. spoczynku</w:t>
            </w:r>
            <w:r w:rsidR="001A16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20CDF">
              <w:rPr>
                <w:rFonts w:ascii="Calibri" w:eastAsia="Times New Roman" w:hAnsi="Calibri" w:cs="Calibri"/>
                <w:color w:val="000000"/>
                <w:lang w:eastAsia="pl-PL"/>
              </w:rPr>
              <w:t>Helena Ciepła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225892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00:54:36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5B3E66" w:rsidRPr="00405C35" w:rsidRDefault="00134F26" w:rsidP="00CA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  <w:tr w:rsidR="000D5231" w:rsidRPr="00405C35" w:rsidTr="000D5231">
        <w:trPr>
          <w:trHeight w:val="6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0D5231" w:rsidRPr="00405C35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t>Korzystanie z praw autorskich na podstawie umowy licencyjnej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r.pr. Olga Bieguńska-Jońca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00:55:12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  <w:tr w:rsidR="000D5231" w:rsidRPr="00405C35" w:rsidTr="000D5231">
        <w:trPr>
          <w:trHeight w:val="6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0D5231" w:rsidRPr="00405C35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hAnsi="Calibri" w:cs="Arial"/>
              </w:rPr>
              <w:t>Zakres odpowiedzialności ubezpieczyciela z tytułu ubezpieczenia OC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dr Andrzej Bielecki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01:41:19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0D5231" w:rsidRPr="00405C35" w:rsidTr="000D5231">
        <w:trPr>
          <w:trHeight w:val="6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0D5231" w:rsidRPr="00405C35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hAnsi="Calibri"/>
              </w:rPr>
              <w:t>Praca w godzinach nadliczbowych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Magdalena </w:t>
            </w:r>
            <w:proofErr w:type="spellStart"/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Rycak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01:27:28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D5231" w:rsidRPr="00405C35" w:rsidTr="000D5231">
        <w:trPr>
          <w:trHeight w:val="685"/>
        </w:trPr>
        <w:tc>
          <w:tcPr>
            <w:tcW w:w="596" w:type="dxa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noWrap/>
            <w:vAlign w:val="center"/>
            <w:hideMark/>
          </w:tcPr>
          <w:p w:rsidR="000D5231" w:rsidRPr="00405C35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Umowa ubezpieczenia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r.pr. Aneta Ciechowicz-Jaworska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01:11:01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</w:tcPr>
          <w:p w:rsidR="000D5231" w:rsidRPr="000D5231" w:rsidRDefault="000D5231" w:rsidP="000D5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CC4FB3" w:rsidRDefault="00CC4FB3" w:rsidP="00405C35">
      <w:pPr>
        <w:tabs>
          <w:tab w:val="left" w:pos="12900"/>
          <w:tab w:val="left" w:pos="13750"/>
        </w:tabs>
        <w:ind w:hanging="567"/>
      </w:pPr>
      <w:bookmarkStart w:id="0" w:name="_GoBack"/>
      <w:bookmarkEnd w:id="0"/>
    </w:p>
    <w:sectPr w:rsidR="00CC4FB3" w:rsidSect="00CC4FB3">
      <w:pgSz w:w="11906" w:h="16838"/>
      <w:pgMar w:top="536" w:right="14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C35"/>
    <w:rsid w:val="00012E7C"/>
    <w:rsid w:val="000D5231"/>
    <w:rsid w:val="00134F26"/>
    <w:rsid w:val="0017602B"/>
    <w:rsid w:val="001A16D2"/>
    <w:rsid w:val="00225892"/>
    <w:rsid w:val="002D3CBF"/>
    <w:rsid w:val="00325E2C"/>
    <w:rsid w:val="00405C35"/>
    <w:rsid w:val="00560A36"/>
    <w:rsid w:val="00594275"/>
    <w:rsid w:val="005B3E66"/>
    <w:rsid w:val="0060477B"/>
    <w:rsid w:val="006553FA"/>
    <w:rsid w:val="006B00D5"/>
    <w:rsid w:val="00820CDF"/>
    <w:rsid w:val="0094066B"/>
    <w:rsid w:val="00A568A0"/>
    <w:rsid w:val="00B227F5"/>
    <w:rsid w:val="00BE67A6"/>
    <w:rsid w:val="00C268FD"/>
    <w:rsid w:val="00C8606B"/>
    <w:rsid w:val="00CC4FB3"/>
    <w:rsid w:val="00E7292B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Jezierska</dc:creator>
  <cp:lastModifiedBy>Marta Dywicka</cp:lastModifiedBy>
  <cp:revision>14</cp:revision>
  <dcterms:created xsi:type="dcterms:W3CDTF">2014-01-29T10:55:00Z</dcterms:created>
  <dcterms:modified xsi:type="dcterms:W3CDTF">2014-12-11T13:33:00Z</dcterms:modified>
</cp:coreProperties>
</file>